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keepLines w:val="0"/>
        <w:kinsoku/>
        <w:wordWrap/>
        <w:overflowPunct/>
        <w:topLinePunct w:val="0"/>
        <w:bidi w:val="0"/>
        <w:adjustRightInd/>
        <w:snapToGrid/>
        <w:spacing w:line="312" w:lineRule="auto"/>
        <w:rPr>
          <w:rFonts w:hint="eastAsia" w:hAnsi="黑体" w:cs="黑体"/>
        </w:rPr>
      </w:pPr>
      <w:bookmarkStart w:id="0" w:name="StandardName"/>
      <w:r>
        <w:rPr>
          <w:rFonts w:hint="eastAsia" w:hAnsi="黑体" w:cs="黑体"/>
        </w:rPr>
        <w:t>ICS 03.080</w:t>
      </w:r>
    </w:p>
    <w:tbl>
      <w:tblPr>
        <w:tblStyle w:val="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85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2" w:hRule="atLeast"/>
        </w:trPr>
        <w:tc>
          <w:tcPr>
            <w:tcW w:w="9854" w:type="dxa"/>
            <w:tcBorders>
              <w:top w:val="nil"/>
              <w:left w:val="nil"/>
              <w:bottom w:val="nil"/>
              <w:right w:val="nil"/>
            </w:tcBorders>
            <w:noWrap w:val="0"/>
            <w:vAlign w:val="top"/>
          </w:tcPr>
          <w:p>
            <w:pPr>
              <w:pStyle w:val="11"/>
              <w:keepLines w:val="0"/>
              <w:kinsoku/>
              <w:wordWrap/>
              <w:overflowPunct/>
              <w:topLinePunct w:val="0"/>
              <w:bidi w:val="0"/>
              <w:adjustRightInd/>
              <w:snapToGrid/>
              <w:spacing w:line="312" w:lineRule="auto"/>
            </w:pPr>
            <w:r>
              <w:rPr>
                <w:rFonts w:hint="eastAsia"/>
              </w:rPr>
              <w:t xml:space="preserve">CCS </w:t>
            </w:r>
            <w:r>
              <mc:AlternateContent>
                <mc:Choice Requires="wps">
                  <w:drawing>
                    <wp:anchor distT="0" distB="0" distL="114300" distR="114300" simplePos="0" relativeHeight="251671552" behindDoc="1" locked="0" layoutInCell="1" allowOverlap="1">
                      <wp:simplePos x="0" y="0"/>
                      <wp:positionH relativeFrom="column">
                        <wp:posOffset>85725</wp:posOffset>
                      </wp:positionH>
                      <wp:positionV relativeFrom="paragraph">
                        <wp:posOffset>152400</wp:posOffset>
                      </wp:positionV>
                      <wp:extent cx="866775" cy="198120"/>
                      <wp:effectExtent l="0" t="0" r="1905" b="0"/>
                      <wp:wrapNone/>
                      <wp:docPr id="4" name="矩形 4"/>
                      <wp:cNvGraphicFramePr/>
                      <a:graphic xmlns:a="http://schemas.openxmlformats.org/drawingml/2006/main">
                        <a:graphicData uri="http://schemas.microsoft.com/office/word/2010/wordprocessingShape">
                          <wps:wsp>
                            <wps:cNvSpPr/>
                            <wps:spPr>
                              <a:xfrm>
                                <a:off x="0" y="0"/>
                                <a:ext cx="866775" cy="198120"/>
                              </a:xfrm>
                              <a:prstGeom prst="rect">
                                <a:avLst/>
                              </a:prstGeom>
                              <a:solidFill>
                                <a:srgbClr val="FFFFFF"/>
                              </a:solidFill>
                              <a:ln>
                                <a:noFill/>
                              </a:ln>
                            </wps:spPr>
                            <wps:txbx>
                              <w:txbxContent>
                                <w:p>
                                  <w:pPr>
                                    <w:rPr>
                                      <w14:textFill>
                                        <w14:noFill/>
                                      </w14:textFill>
                                    </w:rPr>
                                  </w:pPr>
                                </w:p>
                              </w:txbxContent>
                            </wps:txbx>
                            <wps:bodyPr upright="1"/>
                          </wps:wsp>
                        </a:graphicData>
                      </a:graphic>
                    </wp:anchor>
                  </w:drawing>
                </mc:Choice>
                <mc:Fallback>
                  <w:pict>
                    <v:rect id="_x0000_s1026" o:spid="_x0000_s1026" o:spt="1" style="position:absolute;left:0pt;margin-left:6.75pt;margin-top:12pt;height:15.6pt;width:68.25pt;z-index:-251644928;mso-width-relative:page;mso-height-relative:page;" fillcolor="#FFFFFF" filled="t" stroked="f" coordsize="21600,21600" o:gfxdata="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">
                      <v:fill on="t" focussize="0,0"/>
                      <v:stroke on="f"/>
                      <v:imagedata o:title=""/>
                      <o:lock v:ext="edit" aspectratio="f"/>
                      <v:textbox>
                        <w:txbxContent>
                          <w:p>
                            <w:pPr>
                              <w:rPr>
                                <w14:textFill>
                                  <w14:noFill/>
                                </w14:textFill>
                              </w:rPr>
                            </w:pPr>
                          </w:p>
                        </w:txbxContent>
                      </v:textbox>
                    </v:rect>
                  </w:pict>
                </mc:Fallback>
              </mc:AlternateContent>
            </w:r>
            <w:r>
              <w:rPr>
                <w:rFonts w:hint="eastAsia"/>
              </w:rPr>
              <w:t>A 16</w:t>
            </w:r>
            <w:r>
              <mc:AlternateContent>
                <mc:Choice Requires="wps">
                  <w:drawing>
                    <wp:anchor distT="0" distB="0" distL="114300" distR="114300" simplePos="0" relativeHeight="251670528" behindDoc="1" locked="0" layoutInCell="1" allowOverlap="1">
                      <wp:simplePos x="0" y="0"/>
                      <wp:positionH relativeFrom="column">
                        <wp:posOffset>-66675</wp:posOffset>
                      </wp:positionH>
                      <wp:positionV relativeFrom="paragraph">
                        <wp:posOffset>0</wp:posOffset>
                      </wp:positionV>
                      <wp:extent cx="866775" cy="198120"/>
                      <wp:effectExtent l="0" t="0" r="1905" b="0"/>
                      <wp:wrapNone/>
                      <wp:docPr id="14" name="矩形 14"/>
                      <wp:cNvGraphicFramePr/>
                      <a:graphic xmlns:a="http://schemas.openxmlformats.org/drawingml/2006/main">
                        <a:graphicData uri="http://schemas.microsoft.com/office/word/2010/wordprocessingShape">
                          <wps:wsp>
                            <wps:cNvSpPr/>
                            <wps:spPr>
                              <a:xfrm>
                                <a:off x="0" y="0"/>
                                <a:ext cx="866775" cy="198120"/>
                              </a:xfrm>
                              <a:prstGeom prst="rect">
                                <a:avLst/>
                              </a:prstGeom>
                              <a:solidFill>
                                <a:srgbClr val="FFFFFF"/>
                              </a:solidFill>
                              <a:ln>
                                <a:noFill/>
                              </a:ln>
                            </wps:spPr>
                            <wps:txbx>
                              <w:txbxContent>
                                <w:p/>
                              </w:txbxContent>
                            </wps:txbx>
                            <wps:bodyPr upright="1"/>
                          </wps:wsp>
                        </a:graphicData>
                      </a:graphic>
                    </wp:anchor>
                  </w:drawing>
                </mc:Choice>
                <mc:Fallback>
                  <w:pict>
                    <v:rect id="_x0000_s1026" o:spid="_x0000_s1026" o:spt="1" style="position:absolute;left:0pt;margin-left:-5.25pt;margin-top:0pt;height:15.6pt;width:68.25pt;z-index:-251645952;mso-width-relative:page;mso-height-relative:page;" fillcolor="#FFFFFF" filled="t" stroked="f" coordsize="21600,21600" o:gfxdata="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">
                      <v:fill on="t" focussize="0,0"/>
                      <v:stroke on="f"/>
                      <v:imagedata o:title=""/>
                      <o:lock v:ext="edit" aspectratio="f"/>
                      <v:textbox>
                        <w:txbxContent>
                          <w:p/>
                        </w:txbxContent>
                      </v:textbox>
                    </v:rect>
                  </w:pict>
                </mc:Fallback>
              </mc:AlternateContent>
            </w:r>
          </w:p>
        </w:tc>
      </w:tr>
    </w:tbl>
    <w:p>
      <w:pPr>
        <w:pStyle w:val="12"/>
      </w:pPr>
      <w:r>
        <w:t>DB</w:t>
      </w:r>
      <w:r>
        <w:rPr>
          <w:rFonts w:hint="eastAsia"/>
        </w:rPr>
        <w:t>21</w:t>
      </w:r>
    </w:p>
    <w:p>
      <w:pPr>
        <w:pStyle w:val="14"/>
      </w:pPr>
      <w:r>
        <w:rPr>
          <w:rFonts w:hint="eastAsia"/>
        </w:rPr>
        <w:t>辽宁省地方标准</w:t>
      </w:r>
    </w:p>
    <w:p>
      <w:pPr>
        <w:pStyle w:val="15"/>
        <w:rPr>
          <w:rFonts w:hint="eastAsia" w:hAnsi="黑体" w:cs="黑体"/>
        </w:rPr>
      </w:pPr>
      <w:r>
        <w:rPr>
          <w:rFonts w:hint="eastAsia" w:hAnsi="黑体" w:cs="黑体"/>
        </w:rPr>
        <w:t>DB21/T XXXX—XXXX</w:t>
      </w:r>
    </w:p>
    <w:tbl>
      <w:tblPr>
        <w:tblStyle w:val="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3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6" w:type="dxa"/>
            <w:tcBorders>
              <w:top w:val="nil"/>
              <w:left w:val="nil"/>
              <w:bottom w:val="nil"/>
              <w:right w:val="nil"/>
            </w:tcBorders>
            <w:noWrap w:val="0"/>
            <w:vAlign w:val="top"/>
          </w:tcPr>
          <w:p>
            <w:pPr>
              <w:pStyle w:val="16"/>
            </w:pPr>
          </w:p>
        </w:tc>
      </w:tr>
    </w:tbl>
    <w:p>
      <w:pPr>
        <w:pStyle w:val="15"/>
      </w:pPr>
    </w:p>
    <w:p>
      <w:pPr>
        <w:pStyle w:val="15"/>
      </w:pPr>
    </w:p>
    <w:p>
      <w:pPr>
        <w:pStyle w:val="17"/>
        <w:framePr w:x="1390" w:y="6437"/>
        <w:rPr>
          <w:rFonts w:hint="eastAsia" w:eastAsia="黑体"/>
          <w:szCs w:val="22"/>
          <w:lang w:eastAsia="zh-CN"/>
        </w:rPr>
      </w:pPr>
      <w:r>
        <w:rPr>
          <w:rFonts w:hint="eastAsia"/>
          <w:szCs w:val="22"/>
        </w:rPr>
        <w:t>ETC</w:t>
      </w:r>
      <w:r>
        <w:rPr>
          <w:rFonts w:hint="eastAsia"/>
          <w:szCs w:val="22"/>
          <w:lang w:val="en-US" w:eastAsia="zh-CN"/>
        </w:rPr>
        <w:t>智慧</w:t>
      </w:r>
      <w:r>
        <w:rPr>
          <w:rFonts w:hint="eastAsia"/>
          <w:szCs w:val="22"/>
        </w:rPr>
        <w:t xml:space="preserve">停车场 </w:t>
      </w:r>
      <w:r>
        <w:rPr>
          <w:rFonts w:hint="eastAsia"/>
          <w:szCs w:val="22"/>
          <w:lang w:eastAsia="zh-CN"/>
        </w:rPr>
        <w:t>运维要求</w:t>
      </w:r>
    </w:p>
    <w:p>
      <w:pPr>
        <w:pStyle w:val="18"/>
        <w:framePr w:x="1390" w:y="6437"/>
      </w:pPr>
    </w:p>
    <w:p>
      <w:pPr>
        <w:pStyle w:val="19"/>
        <w:framePr w:x="1390" w:y="6437"/>
      </w:pPr>
      <w:r>
        <w:rPr>
          <w:rFonts w:hint="eastAsia"/>
        </w:rPr>
        <w:t>（</w:t>
      </w:r>
      <w:r>
        <w:rPr>
          <w:rFonts w:hint="eastAsia"/>
          <w:lang w:val="en-US" w:eastAsia="zh-CN"/>
        </w:rPr>
        <w:t>征求意见稿</w:t>
      </w:r>
      <w:r>
        <w:rPr>
          <w:rFonts w:hint="eastAsia"/>
        </w:rPr>
        <w:t>）</w:t>
      </w:r>
    </w:p>
    <w:tbl>
      <w:tblPr>
        <w:tblStyle w:val="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85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noWrap w:val="0"/>
            <w:vAlign w:val="top"/>
          </w:tcPr>
          <w:p>
            <w:pPr>
              <w:pStyle w:val="20"/>
              <w:framePr w:x="1390" w:y="6437"/>
            </w:pPr>
            <w:r>
              <mc:AlternateContent>
                <mc:Choice Requires="wps">
                  <w:drawing>
                    <wp:anchor distT="0" distB="0" distL="114300" distR="114300" simplePos="0" relativeHeight="251661312" behindDoc="1" locked="1" layoutInCell="1" allowOverlap="1">
                      <wp:simplePos x="0" y="0"/>
                      <wp:positionH relativeFrom="column">
                        <wp:posOffset>2200910</wp:posOffset>
                      </wp:positionH>
                      <wp:positionV relativeFrom="paragraph">
                        <wp:posOffset>4281805</wp:posOffset>
                      </wp:positionV>
                      <wp:extent cx="1905000" cy="254000"/>
                      <wp:effectExtent l="0" t="0" r="0" b="5080"/>
                      <wp:wrapNone/>
                      <wp:docPr id="9" name="矩形 9"/>
                      <wp:cNvGraphicFramePr/>
                      <a:graphic xmlns:a="http://schemas.openxmlformats.org/drawingml/2006/main">
                        <a:graphicData uri="http://schemas.microsoft.com/office/word/2010/wordprocessingShape">
                          <wps:wsp>
                            <wps:cNvSpPr/>
                            <wps:spPr>
                              <a:xfrm>
                                <a:off x="0" y="0"/>
                                <a:ext cx="1905000" cy="254000"/>
                              </a:xfrm>
                              <a:prstGeom prst="rect">
                                <a:avLst/>
                              </a:prstGeom>
                              <a:solidFill>
                                <a:srgbClr val="FFFFFF"/>
                              </a:solidFill>
                              <a:ln>
                                <a:noFill/>
                              </a:ln>
                            </wps:spPr>
                            <wps:txbx>
                              <w:txbxContent>
                                <w:p/>
                              </w:txbxContent>
                            </wps:txbx>
                            <wps:bodyPr upright="1"/>
                          </wps:wsp>
                        </a:graphicData>
                      </a:graphic>
                    </wp:anchor>
                  </w:drawing>
                </mc:Choice>
                <mc:Fallback>
                  <w:pict>
                    <v:rect id="_x0000_s1026" o:spid="_x0000_s1026" o:spt="1" style="position:absolute;left:0pt;margin-left:173.3pt;margin-top:337.15pt;height:20pt;width:150pt;z-index:-251655168;mso-width-relative:page;mso-height-relative:page;" fillcolor="#FFFFFF" filled="t" stroked="f" coordsize="21600,21600" o:gfxdata="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Df&#10;1/fg1wAAAAsBAAAPAAAAAAAAAAEAIAAAACIAAABkcnMvZG93bnJldi54bWxQSwECFAAUAAAACACH&#10;TuJAgETJ2bMBAABqAwAADgAAAAAAAAABACAAAAAmAQAAZHJzL2Uyb0RvYy54bWxQSwUGAAAAAAYA&#10;BgBZAQAASwUAAAAA&#10;">
                      <v:fill on="t" focussize="0,0"/>
                      <v:stroke on="f"/>
                      <v:imagedata o:title=""/>
                      <o:lock v:ext="edit" aspectratio="f"/>
                      <v:textbox>
                        <w:txbxContent>
                          <w:p/>
                        </w:txbxContent>
                      </v:textbox>
                      <w10:anchorlock/>
                    </v:rect>
                  </w:pict>
                </mc:Fallback>
              </mc:AlternateConten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noWrap w:val="0"/>
            <w:vAlign w:val="top"/>
          </w:tcPr>
          <w:p>
            <w:pPr>
              <w:pStyle w:val="21"/>
              <w:framePr w:x="1390" w:y="6437"/>
            </w:pPr>
          </w:p>
        </w:tc>
      </w:tr>
    </w:tbl>
    <w:p>
      <w:pPr>
        <w:pStyle w:val="22"/>
        <w:framePr w:vAnchor="page" w:hAnchor="page" w:x="1549" w:y="14053"/>
      </w:pPr>
      <w:r>
        <w:rPr>
          <w:rFonts w:ascii="黑体"/>
        </w:rPr>
        <w:t>XXXX</w:t>
      </w:r>
      <w:r>
        <w:t xml:space="preserve"> </w:t>
      </w:r>
      <w:r>
        <w:rPr>
          <w:rFonts w:ascii="黑体"/>
        </w:rPr>
        <w:t>-</w:t>
      </w:r>
      <w:r>
        <w:t xml:space="preserve"> </w:t>
      </w:r>
      <w:r>
        <w:rPr>
          <w:rFonts w:ascii="黑体"/>
        </w:rPr>
        <w:t>XX</w:t>
      </w:r>
      <w:r>
        <w:t xml:space="preserve"> </w:t>
      </w:r>
      <w:r>
        <w:rPr>
          <w:rFonts w:ascii="黑体"/>
        </w:rPr>
        <w:t>-</w:t>
      </w:r>
      <w:r>
        <w:t xml:space="preserve"> </w:t>
      </w:r>
      <w:r>
        <w:rPr>
          <w:rFonts w:ascii="黑体"/>
        </w:rPr>
        <w:t>XX</w:t>
      </w:r>
      <w:r>
        <w:rPr>
          <w:rFonts w:hint="eastAsia"/>
        </w:rPr>
        <w:t>发布</w:t>
      </w:r>
      <w:r>
        <mc:AlternateContent>
          <mc:Choice Requires="wps">
            <w:drawing>
              <wp:anchor distT="0" distB="0" distL="114300" distR="114300" simplePos="0" relativeHeight="251663360" behindDoc="0" locked="1" layoutInCell="1" allowOverlap="1">
                <wp:simplePos x="0" y="0"/>
                <wp:positionH relativeFrom="column">
                  <wp:posOffset>3810</wp:posOffset>
                </wp:positionH>
                <wp:positionV relativeFrom="page">
                  <wp:posOffset>-3421380</wp:posOffset>
                </wp:positionV>
                <wp:extent cx="6120130" cy="0"/>
                <wp:effectExtent l="0" t="0" r="0" b="0"/>
                <wp:wrapNone/>
                <wp:docPr id="10" name="直接连接符 10"/>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0.3pt;margin-top:-269.4pt;height:0pt;width:481.9pt;mso-position-vertical-relative:page;z-index:251663360;mso-width-relative:page;mso-height-relative:page;" filled="f" stroked="t" coordsize="21600,21600" o:gfxdata="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9c1J4dYAAAAKAQAADwAAAAAAAAABACAAAAAiAAAAZHJzL2Rvd25yZXYueG1sUEsBAhQA&#10;FAAAAAgAh07iQGospkz0AQAA5gMAAA4AAAAAAAAAAQAgAAAAJQEAAGRycy9lMm9Eb2MueG1sUEsF&#10;BgAAAAAGAAYAWQEAAIsFAAAAAA==&#10;">
                <v:fill on="f" focussize="0,0"/>
                <v:stroke color="#000000" joinstyle="round"/>
                <v:imagedata o:title=""/>
                <o:lock v:ext="edit" aspectratio="f"/>
                <w10:anchorlock/>
              </v:line>
            </w:pict>
          </mc:Fallback>
        </mc:AlternateContent>
      </w:r>
    </w:p>
    <w:p>
      <w:pPr>
        <w:pStyle w:val="24"/>
        <w:framePr w:vAnchor="page" w:hAnchor="page" w:x="7006" w:y="13981"/>
      </w:pPr>
      <w:r>
        <w:rPr>
          <w:rFonts w:ascii="黑体"/>
        </w:rPr>
        <w:t>XXXX</w:t>
      </w:r>
      <w:r>
        <w:t xml:space="preserve"> </w:t>
      </w:r>
      <w:r>
        <w:rPr>
          <w:rFonts w:ascii="黑体"/>
        </w:rPr>
        <w:t>-</w:t>
      </w:r>
      <w:r>
        <w:t xml:space="preserve"> </w:t>
      </w:r>
      <w:r>
        <w:rPr>
          <w:rFonts w:ascii="黑体"/>
        </w:rPr>
        <w:t>XX</w:t>
      </w:r>
      <w:r>
        <w:t xml:space="preserve"> </w:t>
      </w:r>
      <w:r>
        <w:rPr>
          <w:rFonts w:ascii="黑体"/>
        </w:rPr>
        <w:t>-</w:t>
      </w:r>
      <w:r>
        <w:t xml:space="preserve"> </w:t>
      </w:r>
      <w:r>
        <w:rPr>
          <w:rFonts w:ascii="黑体"/>
        </w:rPr>
        <w:t>XX</w:t>
      </w:r>
      <w:r>
        <w:rPr>
          <w:rFonts w:hint="eastAsia"/>
        </w:rPr>
        <w:t>实施</w:t>
      </w:r>
    </w:p>
    <w:p>
      <w:pPr>
        <w:pStyle w:val="26"/>
        <w:rPr>
          <w:rFonts w:hAnsi="黑体" w:cs="黑体"/>
        </w:rPr>
      </w:pPr>
      <w:bookmarkStart w:id="1" w:name="fm"/>
      <w:r>
        <w:rPr>
          <w:rFonts w:hint="eastAsia" w:hAnsi="黑体" w:cs="黑体"/>
          <w:w w:val="100"/>
        </w:rPr>
        <mc:AlternateContent>
          <mc:Choice Requires="wps">
            <w:drawing>
              <wp:anchor distT="0" distB="0" distL="114300" distR="114300" simplePos="0" relativeHeight="251660288" behindDoc="1" locked="0" layoutInCell="1" allowOverlap="1">
                <wp:simplePos x="0" y="0"/>
                <wp:positionH relativeFrom="column">
                  <wp:posOffset>1810385</wp:posOffset>
                </wp:positionH>
                <wp:positionV relativeFrom="paragraph">
                  <wp:posOffset>-3942715</wp:posOffset>
                </wp:positionV>
                <wp:extent cx="1270000" cy="304800"/>
                <wp:effectExtent l="0" t="0" r="10160" b="0"/>
                <wp:wrapNone/>
                <wp:docPr id="8" name="矩形 8"/>
                <wp:cNvGraphicFramePr/>
                <a:graphic xmlns:a="http://schemas.openxmlformats.org/drawingml/2006/main">
                  <a:graphicData uri="http://schemas.microsoft.com/office/word/2010/wordprocessingShape">
                    <wps:wsp>
                      <wps:cNvSpPr/>
                      <wps:spPr>
                        <a:xfrm>
                          <a:off x="0" y="0"/>
                          <a:ext cx="1270000" cy="304800"/>
                        </a:xfrm>
                        <a:prstGeom prst="rect">
                          <a:avLst/>
                        </a:prstGeom>
                        <a:solidFill>
                          <a:srgbClr val="FFFFFF"/>
                        </a:solidFill>
                        <a:ln>
                          <a:noFill/>
                        </a:ln>
                      </wps:spPr>
                      <wps:txbx>
                        <w:txbxContent>
                          <w:p/>
                        </w:txbxContent>
                      </wps:txbx>
                      <wps:bodyPr upright="1"/>
                    </wps:wsp>
                  </a:graphicData>
                </a:graphic>
              </wp:anchor>
            </w:drawing>
          </mc:Choice>
          <mc:Fallback>
            <w:pict>
              <v:rect id="_x0000_s1026" o:spid="_x0000_s1026" o:spt="1" style="position:absolute;left:0pt;margin-left:142.55pt;margin-top:-310.45pt;height:24pt;width:100pt;z-index:-251656192;mso-width-relative:page;mso-height-relative:page;" fillcolor="#FFFFFF" filled="t" stroked="f" coordsize="21600,21600" o:gfxdata="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">
                <v:fill on="t" focussize="0,0"/>
                <v:stroke on="f"/>
                <v:imagedata o:title=""/>
                <o:lock v:ext="edit" aspectratio="f"/>
                <v:textbox>
                  <w:txbxContent>
                    <w:p/>
                  </w:txbxContent>
                </v:textbox>
              </v:rect>
            </w:pict>
          </mc:Fallback>
        </mc:AlternateContent>
      </w:r>
      <w:r>
        <w:rPr>
          <w:rFonts w:hint="eastAsia" w:hAnsi="黑体" w:cs="黑体"/>
          <w:w w:val="100"/>
        </w:rPr>
        <mc:AlternateContent>
          <mc:Choice Requires="wps">
            <w:drawing>
              <wp:anchor distT="0" distB="0" distL="114300" distR="114300" simplePos="0" relativeHeight="251659264" behindDoc="1" locked="0" layoutInCell="1" allowOverlap="1">
                <wp:simplePos x="0" y="0"/>
                <wp:positionH relativeFrom="column">
                  <wp:posOffset>4413885</wp:posOffset>
                </wp:positionH>
                <wp:positionV relativeFrom="paragraph">
                  <wp:posOffset>-7435215</wp:posOffset>
                </wp:positionV>
                <wp:extent cx="1143000" cy="228600"/>
                <wp:effectExtent l="0" t="0" r="0" b="0"/>
                <wp:wrapNone/>
                <wp:docPr id="3" name="矩形 3"/>
                <wp:cNvGraphicFramePr/>
                <a:graphic xmlns:a="http://schemas.openxmlformats.org/drawingml/2006/main">
                  <a:graphicData uri="http://schemas.microsoft.com/office/word/2010/wordprocessingShape">
                    <wps:wsp>
                      <wps:cNvSpPr/>
                      <wps:spPr>
                        <a:xfrm>
                          <a:off x="0" y="0"/>
                          <a:ext cx="1143000" cy="228600"/>
                        </a:xfrm>
                        <a:prstGeom prst="rect">
                          <a:avLst/>
                        </a:prstGeom>
                        <a:solidFill>
                          <a:srgbClr val="FFFFFF"/>
                        </a:solidFill>
                        <a:ln>
                          <a:noFill/>
                        </a:ln>
                      </wps:spPr>
                      <wps:txbx>
                        <w:txbxContent>
                          <w:p/>
                        </w:txbxContent>
                      </wps:txbx>
                      <wps:bodyPr upright="1"/>
                    </wps:wsp>
                  </a:graphicData>
                </a:graphic>
              </wp:anchor>
            </w:drawing>
          </mc:Choice>
          <mc:Fallback>
            <w:pict>
              <v:rect id="_x0000_s1026" o:spid="_x0000_s1026" o:spt="1" style="position:absolute;left:0pt;margin-left:347.55pt;margin-top:-585.45pt;height:18pt;width:90pt;z-index:-251657216;mso-width-relative:page;mso-height-relative:page;" fillcolor="#FFFFFF" filled="t" stroked="f" coordsize="21600,21600" o:gfxdata="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">
                <v:fill on="t" focussize="0,0"/>
                <v:stroke on="f"/>
                <v:imagedata o:title=""/>
                <o:lock v:ext="edit" aspectratio="f"/>
                <v:textbox>
                  <w:txbxContent>
                    <w:p/>
                  </w:txbxContent>
                </v:textbox>
              </v:rect>
            </w:pict>
          </mc:Fallback>
        </mc:AlternateContent>
      </w:r>
      <w:bookmarkEnd w:id="1"/>
      <w:r>
        <w:rPr>
          <w:rFonts w:hint="eastAsia" w:hAnsi="黑体" w:cs="黑体"/>
          <w:w w:val="100"/>
        </w:rPr>
        <w:t>辽宁省</w:t>
      </w:r>
      <w:r>
        <w:rPr>
          <w:rFonts w:hint="eastAsia" w:hAnsi="黑体" w:cs="黑体"/>
          <w:w w:val="100"/>
          <w:szCs w:val="22"/>
        </w:rPr>
        <w:t>市场监督管理局</w:t>
      </w:r>
      <w:r>
        <w:rPr>
          <w:rFonts w:hint="eastAsia" w:hAnsi="黑体" w:cs="黑体"/>
          <w:w w:val="100"/>
          <w:szCs w:val="22"/>
          <w:lang w:eastAsia="zh-CN"/>
        </w:rPr>
        <w:t>　</w:t>
      </w:r>
      <w:r>
        <w:rPr>
          <w:rFonts w:hint="eastAsia" w:hAnsi="黑体" w:cs="黑体"/>
          <w:w w:val="100"/>
          <w:szCs w:val="22"/>
        </w:rPr>
        <w:t xml:space="preserve"> 发 布</w:t>
      </w:r>
    </w:p>
    <w:p>
      <w:pPr>
        <w:pStyle w:val="28"/>
        <w:sectPr>
          <w:headerReference r:id="rId3" w:type="even"/>
          <w:footerReference r:id="rId4" w:type="even"/>
          <w:pgSz w:w="11906" w:h="16838"/>
          <w:pgMar w:top="567" w:right="1134" w:bottom="1134" w:left="1417" w:header="0" w:footer="0" w:gutter="0"/>
          <w:pgNumType w:fmt="upperRoman" w:start="1"/>
          <w:cols w:space="720" w:num="1"/>
          <w:docGrid w:type="lines" w:linePitch="312" w:charSpace="0"/>
        </w:sectPr>
      </w:pPr>
      <w:r>
        <w:rPr>
          <w:rFonts w:hint="eastAsia" w:ascii="黑体" w:hAnsi="黑体" w:eastAsia="黑体" w:cs="黑体"/>
        </w:rPr>
        <mc:AlternateContent>
          <mc:Choice Requires="wps">
            <w:drawing>
              <wp:anchor distT="0" distB="0" distL="114300" distR="114300" simplePos="0" relativeHeight="251664384" behindDoc="0" locked="0" layoutInCell="1" allowOverlap="1">
                <wp:simplePos x="0" y="0"/>
                <wp:positionH relativeFrom="column">
                  <wp:posOffset>-635</wp:posOffset>
                </wp:positionH>
                <wp:positionV relativeFrom="paragraph">
                  <wp:posOffset>2333625</wp:posOffset>
                </wp:positionV>
                <wp:extent cx="6062345" cy="6350"/>
                <wp:effectExtent l="0" t="4445" r="3175" b="12065"/>
                <wp:wrapNone/>
                <wp:docPr id="11" name="直接连接符 11"/>
                <wp:cNvGraphicFramePr/>
                <a:graphic xmlns:a="http://schemas.openxmlformats.org/drawingml/2006/main">
                  <a:graphicData uri="http://schemas.microsoft.com/office/word/2010/wordprocessingShape">
                    <wps:wsp>
                      <wps:cNvCnPr/>
                      <wps:spPr>
                        <a:xfrm flipV="1">
                          <a:off x="0" y="0"/>
                          <a:ext cx="6062345" cy="635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y;margin-left:-0.05pt;margin-top:183.75pt;height:0.5pt;width:477.35pt;z-index:251664384;mso-width-relative:page;mso-height-relative:page;" filled="f" stroked="t" coordsize="21600,21600" o:gfxdata="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D6I2+V2AAAAAkBAAAPAAAAAAAAAAEAIAAAACIAAABkcnMvZG93&#10;bnJldi54bWxQSwECFAAUAAAACACHTuJAKIAFsgACAADzAwAADgAAAAAAAAABACAAAAAnAQAAZHJz&#10;L2Uyb0RvYy54bWxQSwUGAAAAAAYABgBZAQAAmQUAAAAA&#10;">
                <v:fill on="f" focussize="0,0"/>
                <v:stroke color="#000000" joinstyle="round"/>
                <v:imagedata o:title=""/>
                <o:lock v:ext="edit" aspectratio="f"/>
              </v:line>
            </w:pict>
          </mc:Fallback>
        </mc:AlternateContent>
      </w:r>
      <w:r>
        <w:rPr>
          <w:rFonts w:hint="eastAsia" w:ascii="黑体" w:hAnsi="黑体" w:eastAsia="黑体" w:cs="黑体"/>
        </w:rPr>
        <mc:AlternateContent>
          <mc:Choice Requires="wps">
            <w:drawing>
              <wp:anchor distT="0" distB="0" distL="114300" distR="114300" simplePos="0" relativeHeight="251665408" behindDoc="0" locked="0" layoutInCell="1" allowOverlap="1">
                <wp:simplePos x="0" y="0"/>
                <wp:positionH relativeFrom="column">
                  <wp:posOffset>34925</wp:posOffset>
                </wp:positionH>
                <wp:positionV relativeFrom="paragraph">
                  <wp:posOffset>8851900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2.75pt;margin-top:697pt;height:0pt;width:481.9pt;z-index:251665408;mso-width-relative:page;mso-height-relative:page;" filled="f" stroked="t" coordsize="21600,21600" o:gfxdata="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zmbKldYAAAALAQAADwAAAAAAAAABACAAAAAiAAAAZHJzL2Rvd25yZXYueG1sUEsBAhQA&#10;FAAAAAgAh07iQI50ZUH0AQAA5AMAAA4AAAAAAAAAAQAgAAAAJQEAAGRycy9lMm9Eb2MueG1sUEsF&#10;BgAAAAAGAAYAWQEAAIsFAAAAAA==&#10;">
                <v:fill on="f" focussize="0,0"/>
                <v:stroke color="#000000" joinstyle="round"/>
                <v:imagedata o:title=""/>
                <o:lock v:ext="edit" aspectratio="f"/>
              </v:line>
            </w:pict>
          </mc:Fallback>
        </mc:AlternateContent>
      </w:r>
    </w:p>
    <w:p>
      <w:pPr>
        <w:jc w:val="center"/>
        <w:rPr>
          <w:rFonts w:hint="eastAsia" w:ascii="黑体" w:hAnsi="黑体" w:eastAsia="黑体" w:cs="黑体"/>
          <w:sz w:val="32"/>
          <w:szCs w:val="32"/>
        </w:rPr>
      </w:pPr>
      <w:r>
        <w:rPr>
          <w:rFonts w:hint="eastAsia" w:ascii="黑体" w:hAnsi="黑体" w:eastAsia="黑体" w:cs="黑体"/>
          <w:sz w:val="32"/>
          <w:szCs w:val="32"/>
        </w:rPr>
        <w:t>目</w:t>
      </w:r>
      <w:r>
        <w:rPr>
          <w:rFonts w:hint="eastAsia" w:ascii="黑体" w:hAnsi="黑体" w:eastAsia="黑体" w:cs="黑体"/>
          <w:sz w:val="32"/>
          <w:szCs w:val="32"/>
          <w:lang w:eastAsia="zh-CN"/>
        </w:rPr>
        <w:t>　</w:t>
      </w:r>
      <w:r>
        <w:rPr>
          <w:rFonts w:hint="eastAsia" w:ascii="黑体" w:hAnsi="黑体" w:eastAsia="黑体" w:cs="黑体"/>
          <w:sz w:val="32"/>
          <w:szCs w:val="32"/>
        </w:rPr>
        <w:t xml:space="preserve"> 次</w:t>
      </w:r>
    </w:p>
    <w:p>
      <w:pPr>
        <w:pStyle w:val="6"/>
        <w:tabs>
          <w:tab w:val="right" w:leader="dot" w:pos="9355"/>
          <w:tab w:val="clear" w:pos="9242"/>
        </w:tabs>
      </w:pPr>
      <w:r>
        <w:rPr>
          <w:rFonts w:hint="eastAsia"/>
        </w:rPr>
        <w:fldChar w:fldCharType="begin"/>
      </w:r>
      <w:r>
        <w:rPr>
          <w:rFonts w:hint="eastAsia"/>
        </w:rPr>
        <w:instrText xml:space="preserve">TOC \o "1-3" \h \u </w:instrText>
      </w:r>
      <w:r>
        <w:rPr>
          <w:rFonts w:hint="eastAsia"/>
        </w:rPr>
        <w:fldChar w:fldCharType="separate"/>
      </w:r>
      <w:r>
        <w:rPr>
          <w:rFonts w:hint="eastAsia"/>
        </w:rPr>
        <w:fldChar w:fldCharType="begin"/>
      </w:r>
      <w:r>
        <w:rPr>
          <w:rFonts w:hint="eastAsia"/>
        </w:rPr>
        <w:instrText xml:space="preserve"> HYPERLINK \l _Toc5843 </w:instrText>
      </w:r>
      <w:r>
        <w:rPr>
          <w:rFonts w:hint="eastAsia"/>
        </w:rPr>
        <w:fldChar w:fldCharType="separate"/>
      </w:r>
      <w:r>
        <w:rPr>
          <w:rFonts w:hint="eastAsia"/>
        </w:rPr>
        <w:t>前言</w:t>
      </w:r>
      <w:r>
        <w:tab/>
      </w:r>
      <w:r>
        <w:fldChar w:fldCharType="begin"/>
      </w:r>
      <w:r>
        <w:instrText xml:space="preserve"> PAGEREF _Toc5843 \h </w:instrText>
      </w:r>
      <w:r>
        <w:fldChar w:fldCharType="separate"/>
      </w:r>
      <w:r>
        <w:t>III</w:t>
      </w:r>
      <w:r>
        <w:fldChar w:fldCharType="end"/>
      </w:r>
      <w:r>
        <w:rPr>
          <w:rFonts w:hint="eastAsia"/>
        </w:rPr>
        <w:fldChar w:fldCharType="end"/>
      </w:r>
    </w:p>
    <w:p>
      <w:pPr>
        <w:pStyle w:val="7"/>
        <w:tabs>
          <w:tab w:val="right" w:leader="dot" w:pos="9355"/>
          <w:tab w:val="clear" w:pos="9242"/>
        </w:tabs>
      </w:pPr>
      <w:r>
        <w:rPr>
          <w:rFonts w:hint="eastAsia"/>
        </w:rPr>
        <w:fldChar w:fldCharType="begin"/>
      </w:r>
      <w:r>
        <w:rPr>
          <w:rFonts w:hint="eastAsia"/>
        </w:rPr>
        <w:instrText xml:space="preserve"> HYPERLINK \l _Toc4322 </w:instrText>
      </w:r>
      <w:r>
        <w:rPr>
          <w:rFonts w:hint="eastAsia"/>
        </w:rPr>
        <w:fldChar w:fldCharType="separate"/>
      </w:r>
      <w:r>
        <w:rPr>
          <w:rFonts w:hint="eastAsia" w:ascii="黑体" w:hAnsi="Times New Roman" w:eastAsia="黑体"/>
          <w:i w:val="0"/>
          <w:szCs w:val="21"/>
        </w:rPr>
        <w:t>1</w:t>
      </w:r>
      <w:r>
        <w:rPr>
          <w:rFonts w:hint="eastAsia" w:ascii="黑体" w:eastAsia="黑体"/>
          <w:i w:val="0"/>
          <w:szCs w:val="21"/>
          <w:lang w:eastAsia="zh-CN"/>
        </w:rPr>
        <w:t>　</w:t>
      </w:r>
      <w:r>
        <w:rPr>
          <w:rFonts w:hint="eastAsia"/>
        </w:rPr>
        <w:t>范围</w:t>
      </w:r>
      <w:r>
        <w:tab/>
      </w:r>
      <w:r>
        <w:fldChar w:fldCharType="begin"/>
      </w:r>
      <w:r>
        <w:instrText xml:space="preserve"> PAGEREF _Toc4322 \h </w:instrText>
      </w:r>
      <w:r>
        <w:fldChar w:fldCharType="separate"/>
      </w:r>
      <w:r>
        <w:t>1</w:t>
      </w:r>
      <w:r>
        <w:fldChar w:fldCharType="end"/>
      </w:r>
      <w:r>
        <w:rPr>
          <w:rFonts w:hint="eastAsia"/>
        </w:rPr>
        <w:fldChar w:fldCharType="end"/>
      </w:r>
    </w:p>
    <w:p>
      <w:pPr>
        <w:pStyle w:val="7"/>
        <w:tabs>
          <w:tab w:val="right" w:leader="dot" w:pos="9355"/>
          <w:tab w:val="clear" w:pos="9242"/>
        </w:tabs>
      </w:pPr>
      <w:r>
        <w:rPr>
          <w:rFonts w:hint="eastAsia"/>
        </w:rPr>
        <w:fldChar w:fldCharType="begin"/>
      </w:r>
      <w:r>
        <w:rPr>
          <w:rFonts w:hint="eastAsia"/>
        </w:rPr>
        <w:instrText xml:space="preserve"> HYPERLINK \l _Toc24834 </w:instrText>
      </w:r>
      <w:r>
        <w:rPr>
          <w:rFonts w:hint="eastAsia"/>
        </w:rPr>
        <w:fldChar w:fldCharType="separate"/>
      </w:r>
      <w:r>
        <w:rPr>
          <w:rFonts w:hint="eastAsia" w:ascii="黑体" w:hAnsi="Times New Roman" w:eastAsia="黑体"/>
          <w:i w:val="0"/>
          <w:szCs w:val="21"/>
        </w:rPr>
        <w:t>2</w:t>
      </w:r>
      <w:r>
        <w:rPr>
          <w:rFonts w:hint="eastAsia" w:ascii="黑体" w:eastAsia="黑体"/>
          <w:i w:val="0"/>
          <w:szCs w:val="21"/>
          <w:lang w:eastAsia="zh-CN"/>
        </w:rPr>
        <w:t>　</w:t>
      </w:r>
      <w:r>
        <w:rPr>
          <w:rFonts w:hint="eastAsia"/>
        </w:rPr>
        <w:t>规范性引用文件</w:t>
      </w:r>
      <w:r>
        <w:tab/>
      </w:r>
      <w:r>
        <w:fldChar w:fldCharType="begin"/>
      </w:r>
      <w:r>
        <w:instrText xml:space="preserve"> PAGEREF _Toc24834 \h </w:instrText>
      </w:r>
      <w:r>
        <w:fldChar w:fldCharType="separate"/>
      </w:r>
      <w:r>
        <w:t>1</w:t>
      </w:r>
      <w:r>
        <w:fldChar w:fldCharType="end"/>
      </w:r>
      <w:r>
        <w:rPr>
          <w:rFonts w:hint="eastAsia"/>
        </w:rPr>
        <w:fldChar w:fldCharType="end"/>
      </w:r>
    </w:p>
    <w:p>
      <w:pPr>
        <w:pStyle w:val="7"/>
        <w:tabs>
          <w:tab w:val="right" w:leader="dot" w:pos="9355"/>
          <w:tab w:val="clear" w:pos="9242"/>
        </w:tabs>
      </w:pPr>
      <w:r>
        <w:rPr>
          <w:rFonts w:hint="eastAsia"/>
        </w:rPr>
        <w:fldChar w:fldCharType="begin"/>
      </w:r>
      <w:r>
        <w:rPr>
          <w:rFonts w:hint="eastAsia"/>
        </w:rPr>
        <w:instrText xml:space="preserve"> HYPERLINK \l _Toc3365 </w:instrText>
      </w:r>
      <w:r>
        <w:rPr>
          <w:rFonts w:hint="eastAsia"/>
        </w:rPr>
        <w:fldChar w:fldCharType="separate"/>
      </w:r>
      <w:r>
        <w:rPr>
          <w:rFonts w:hint="eastAsia" w:ascii="黑体" w:hAnsi="Times New Roman" w:eastAsia="黑体"/>
          <w:i w:val="0"/>
          <w:szCs w:val="21"/>
        </w:rPr>
        <w:t>3</w:t>
      </w:r>
      <w:r>
        <w:rPr>
          <w:rFonts w:hint="eastAsia" w:ascii="黑体" w:eastAsia="黑体"/>
          <w:i w:val="0"/>
          <w:szCs w:val="21"/>
          <w:lang w:eastAsia="zh-CN"/>
        </w:rPr>
        <w:t>　</w:t>
      </w:r>
      <w:r>
        <w:rPr>
          <w:rFonts w:hint="eastAsia"/>
        </w:rPr>
        <w:t>术语和定义</w:t>
      </w:r>
      <w:r>
        <w:tab/>
      </w:r>
      <w:r>
        <w:fldChar w:fldCharType="begin"/>
      </w:r>
      <w:r>
        <w:instrText xml:space="preserve"> PAGEREF _Toc3365 \h </w:instrText>
      </w:r>
      <w:r>
        <w:fldChar w:fldCharType="separate"/>
      </w:r>
      <w:r>
        <w:t>1</w:t>
      </w:r>
      <w:r>
        <w:fldChar w:fldCharType="end"/>
      </w:r>
      <w:r>
        <w:rPr>
          <w:rFonts w:hint="eastAsia"/>
        </w:rPr>
        <w:fldChar w:fldCharType="end"/>
      </w:r>
    </w:p>
    <w:p>
      <w:pPr>
        <w:pStyle w:val="7"/>
        <w:tabs>
          <w:tab w:val="right" w:leader="dot" w:pos="9355"/>
          <w:tab w:val="clear" w:pos="9242"/>
        </w:tabs>
      </w:pPr>
      <w:r>
        <w:rPr>
          <w:rFonts w:hint="eastAsia"/>
        </w:rPr>
        <w:fldChar w:fldCharType="begin"/>
      </w:r>
      <w:r>
        <w:rPr>
          <w:rFonts w:hint="eastAsia"/>
        </w:rPr>
        <w:instrText xml:space="preserve"> HYPERLINK \l _Toc10967 </w:instrText>
      </w:r>
      <w:r>
        <w:rPr>
          <w:rFonts w:hint="eastAsia"/>
        </w:rPr>
        <w:fldChar w:fldCharType="separate"/>
      </w:r>
      <w:r>
        <w:rPr>
          <w:rFonts w:hint="eastAsia" w:ascii="黑体" w:hAnsi="Times New Roman" w:eastAsia="黑体"/>
          <w:i w:val="0"/>
          <w:szCs w:val="21"/>
        </w:rPr>
        <w:t>4</w:t>
      </w:r>
      <w:r>
        <w:rPr>
          <w:rFonts w:hint="eastAsia" w:ascii="黑体" w:eastAsia="黑体"/>
          <w:i w:val="0"/>
          <w:szCs w:val="21"/>
          <w:lang w:val="en-US" w:eastAsia="zh-CN"/>
        </w:rPr>
        <w:t>　</w:t>
      </w:r>
      <w:r>
        <w:rPr>
          <w:rFonts w:hint="eastAsia"/>
          <w:lang w:val="en-US" w:eastAsia="zh-CN"/>
        </w:rPr>
        <w:t>缩略语</w:t>
      </w:r>
      <w:r>
        <w:tab/>
      </w:r>
      <w:r>
        <w:fldChar w:fldCharType="begin"/>
      </w:r>
      <w:r>
        <w:instrText xml:space="preserve"> PAGEREF _Toc10967 \h </w:instrText>
      </w:r>
      <w:r>
        <w:fldChar w:fldCharType="separate"/>
      </w:r>
      <w:r>
        <w:t>2</w:t>
      </w:r>
      <w:r>
        <w:fldChar w:fldCharType="end"/>
      </w:r>
      <w:r>
        <w:rPr>
          <w:rFonts w:hint="eastAsia"/>
        </w:rPr>
        <w:fldChar w:fldCharType="end"/>
      </w:r>
    </w:p>
    <w:p>
      <w:pPr>
        <w:pStyle w:val="7"/>
        <w:tabs>
          <w:tab w:val="right" w:leader="dot" w:pos="9355"/>
          <w:tab w:val="clear" w:pos="9242"/>
        </w:tabs>
      </w:pPr>
      <w:r>
        <w:rPr>
          <w:rFonts w:hint="eastAsia"/>
        </w:rPr>
        <w:fldChar w:fldCharType="begin"/>
      </w:r>
      <w:r>
        <w:rPr>
          <w:rFonts w:hint="eastAsia"/>
        </w:rPr>
        <w:instrText xml:space="preserve"> HYPERLINK \l _Toc12892 </w:instrText>
      </w:r>
      <w:r>
        <w:rPr>
          <w:rFonts w:hint="eastAsia"/>
        </w:rPr>
        <w:fldChar w:fldCharType="separate"/>
      </w:r>
      <w:r>
        <w:rPr>
          <w:rFonts w:hint="eastAsia" w:ascii="黑体" w:hAnsi="Times New Roman" w:eastAsia="黑体"/>
          <w:i w:val="0"/>
          <w:szCs w:val="21"/>
        </w:rPr>
        <w:t>5</w:t>
      </w:r>
      <w:r>
        <w:rPr>
          <w:rFonts w:hint="eastAsia" w:ascii="黑体" w:eastAsia="黑体"/>
          <w:i w:val="0"/>
          <w:szCs w:val="21"/>
          <w:lang w:val="en-US" w:eastAsia="zh-CN"/>
        </w:rPr>
        <w:t>　</w:t>
      </w:r>
      <w:r>
        <w:rPr>
          <w:rFonts w:hint="eastAsia"/>
          <w:lang w:val="en-US" w:eastAsia="zh-CN"/>
        </w:rPr>
        <w:t>前置条件</w:t>
      </w:r>
      <w:r>
        <w:tab/>
      </w:r>
      <w:r>
        <w:fldChar w:fldCharType="begin"/>
      </w:r>
      <w:r>
        <w:instrText xml:space="preserve"> PAGEREF _Toc12892 \h </w:instrText>
      </w:r>
      <w:r>
        <w:fldChar w:fldCharType="separate"/>
      </w:r>
      <w:r>
        <w:t>2</w:t>
      </w:r>
      <w:r>
        <w:fldChar w:fldCharType="end"/>
      </w:r>
      <w:r>
        <w:rPr>
          <w:rFonts w:hint="eastAsia"/>
        </w:rPr>
        <w:fldChar w:fldCharType="end"/>
      </w:r>
    </w:p>
    <w:p>
      <w:pPr>
        <w:pStyle w:val="7"/>
        <w:tabs>
          <w:tab w:val="right" w:leader="dot" w:pos="9355"/>
          <w:tab w:val="clear" w:pos="9242"/>
        </w:tabs>
        <w:rPr>
          <w:rFonts w:hint="eastAsia"/>
        </w:rPr>
      </w:pPr>
      <w:r>
        <w:rPr>
          <w:rFonts w:hint="eastAsia"/>
        </w:rPr>
        <w:fldChar w:fldCharType="begin"/>
      </w:r>
      <w:r>
        <w:rPr>
          <w:rFonts w:hint="eastAsia"/>
        </w:rPr>
        <w:instrText xml:space="preserve"> HYPERLINK \l _Toc15026 </w:instrText>
      </w:r>
      <w:r>
        <w:rPr>
          <w:rFonts w:hint="eastAsia"/>
        </w:rPr>
        <w:fldChar w:fldCharType="separate"/>
      </w:r>
      <w:r>
        <w:rPr>
          <w:rFonts w:hint="eastAsia" w:ascii="黑体" w:hAnsi="Times New Roman" w:eastAsia="黑体"/>
          <w:i w:val="0"/>
          <w:szCs w:val="21"/>
          <w:lang w:val="en-US" w:eastAsia="zh-CN"/>
        </w:rPr>
        <w:t>6</w:t>
      </w:r>
      <w:r>
        <w:rPr>
          <w:rFonts w:hint="eastAsia" w:ascii="黑体" w:eastAsia="黑体"/>
          <w:i w:val="0"/>
          <w:szCs w:val="21"/>
          <w:lang w:val="en-US" w:eastAsia="zh-CN"/>
        </w:rPr>
        <w:t>　</w:t>
      </w:r>
      <w:r>
        <w:rPr>
          <w:rFonts w:hint="eastAsia"/>
          <w:szCs w:val="22"/>
          <w:lang w:val="en-US" w:eastAsia="zh-CN"/>
        </w:rPr>
        <w:t>各方职责</w:t>
      </w:r>
      <w:r>
        <w:tab/>
      </w:r>
      <w:r>
        <w:fldChar w:fldCharType="begin"/>
      </w:r>
      <w:r>
        <w:instrText xml:space="preserve"> PAGEREF _Toc15026 \h </w:instrText>
      </w:r>
      <w:r>
        <w:fldChar w:fldCharType="separate"/>
      </w:r>
      <w:r>
        <w:t>2</w:t>
      </w:r>
      <w:r>
        <w:fldChar w:fldCharType="end"/>
      </w:r>
      <w:r>
        <w:rPr>
          <w:rFonts w:hint="eastAsia"/>
        </w:rPr>
        <w:fldChar w:fldCharType="end"/>
      </w:r>
    </w:p>
    <w:p>
      <w:pPr>
        <w:pStyle w:val="3"/>
        <w:tabs>
          <w:tab w:val="right" w:leader="dot" w:pos="9355"/>
          <w:tab w:val="clear" w:pos="9241"/>
        </w:tabs>
        <w:rPr>
          <w:rFonts w:hint="eastAsia"/>
        </w:rPr>
      </w:pPr>
      <w:r>
        <w:rPr>
          <w:rFonts w:hint="eastAsia"/>
        </w:rPr>
        <w:fldChar w:fldCharType="begin"/>
      </w:r>
      <w:r>
        <w:rPr>
          <w:rFonts w:hint="eastAsia"/>
        </w:rPr>
        <w:instrText xml:space="preserve"> HYPERLINK \l _Toc31244 </w:instrText>
      </w:r>
      <w:r>
        <w:rPr>
          <w:rFonts w:hint="eastAsia"/>
        </w:rPr>
        <w:fldChar w:fldCharType="separate"/>
      </w:r>
      <w:r>
        <w:rPr>
          <w:rFonts w:hint="eastAsia"/>
          <w:lang w:val="en-US" w:eastAsia="zh-CN"/>
        </w:rPr>
        <w:t>6</w:t>
      </w:r>
      <w:r>
        <w:rPr>
          <w:rFonts w:hint="eastAsia" w:ascii="宋体" w:hAnsi="Times New Roman" w:eastAsia="宋体" w:cs="Times New Roman"/>
          <w:bCs w:val="0"/>
          <w:i w:val="0"/>
          <w:iCs w:val="0"/>
          <w:caps w:val="0"/>
          <w:strike w:val="0"/>
          <w:dstrike w:val="0"/>
          <w:vanish w:val="0"/>
          <w:spacing w:val="0"/>
          <w:kern w:val="2"/>
          <w:position w:val="0"/>
          <w:szCs w:val="21"/>
          <w:vertAlign w:val="baseline"/>
          <w:lang w:val="en-US" w:eastAsia="zh-CN"/>
        </w:rPr>
        <w:t>.1</w:t>
      </w:r>
      <w:r>
        <w:rPr>
          <w:rFonts w:hint="eastAsia" w:ascii="宋体" w:eastAsia="宋体" w:cs="Times New Roman"/>
          <w:bCs w:val="0"/>
          <w:i w:val="0"/>
          <w:iCs w:val="0"/>
          <w:caps w:val="0"/>
          <w:strike w:val="0"/>
          <w:dstrike w:val="0"/>
          <w:vanish w:val="0"/>
          <w:spacing w:val="0"/>
          <w:kern w:val="2"/>
          <w:position w:val="0"/>
          <w:szCs w:val="21"/>
          <w:vertAlign w:val="baseline"/>
          <w:lang w:val="en-US" w:eastAsia="zh-CN"/>
        </w:rPr>
        <w:t>　停车场（库）集成商</w:t>
      </w:r>
      <w:r>
        <w:rPr>
          <w:rFonts w:hint="eastAsia"/>
        </w:rPr>
        <w:tab/>
      </w:r>
      <w:r>
        <w:rPr>
          <w:rFonts w:hint="eastAsia"/>
        </w:rPr>
        <w:fldChar w:fldCharType="begin"/>
      </w:r>
      <w:r>
        <w:rPr>
          <w:rFonts w:hint="eastAsia"/>
        </w:rPr>
        <w:instrText xml:space="preserve"> PAGEREF _Toc31244 \h </w:instrText>
      </w:r>
      <w:r>
        <w:rPr>
          <w:rFonts w:hint="eastAsia"/>
        </w:rPr>
        <w:fldChar w:fldCharType="separate"/>
      </w:r>
      <w:r>
        <w:rPr>
          <w:rFonts w:hint="eastAsia"/>
        </w:rPr>
        <w:t>4</w:t>
      </w:r>
      <w:r>
        <w:rPr>
          <w:rFonts w:hint="eastAsia"/>
        </w:rPr>
        <w:fldChar w:fldCharType="end"/>
      </w:r>
      <w:r>
        <w:rPr>
          <w:rFonts w:hint="eastAsia"/>
        </w:rPr>
        <w:fldChar w:fldCharType="end"/>
      </w:r>
    </w:p>
    <w:p>
      <w:pPr>
        <w:pStyle w:val="3"/>
        <w:tabs>
          <w:tab w:val="right" w:leader="dot" w:pos="9355"/>
          <w:tab w:val="clear" w:pos="9241"/>
        </w:tabs>
        <w:rPr>
          <w:rFonts w:hint="eastAsia"/>
        </w:rPr>
      </w:pPr>
      <w:r>
        <w:rPr>
          <w:rFonts w:hint="eastAsia"/>
        </w:rPr>
        <w:fldChar w:fldCharType="begin"/>
      </w:r>
      <w:r>
        <w:rPr>
          <w:rFonts w:hint="eastAsia"/>
        </w:rPr>
        <w:instrText xml:space="preserve"> HYPERLINK \l _Toc27524 </w:instrText>
      </w:r>
      <w:r>
        <w:rPr>
          <w:rFonts w:hint="eastAsia"/>
        </w:rPr>
        <w:fldChar w:fldCharType="separate"/>
      </w:r>
      <w:r>
        <w:rPr>
          <w:rFonts w:hint="eastAsia"/>
          <w:lang w:val="en-US" w:eastAsia="zh-CN"/>
        </w:rPr>
        <w:t>6</w:t>
      </w:r>
      <w:r>
        <w:rPr>
          <w:rFonts w:hint="eastAsia" w:ascii="宋体" w:hAnsi="Times New Roman" w:eastAsia="宋体" w:cs="Times New Roman"/>
          <w:bCs w:val="0"/>
          <w:i w:val="0"/>
          <w:iCs w:val="0"/>
          <w:caps w:val="0"/>
          <w:strike w:val="0"/>
          <w:dstrike w:val="0"/>
          <w:vanish w:val="0"/>
          <w:spacing w:val="0"/>
          <w:kern w:val="2"/>
          <w:position w:val="0"/>
          <w:szCs w:val="21"/>
          <w:vertAlign w:val="baseline"/>
          <w:lang w:val="en-US" w:eastAsia="zh-CN"/>
        </w:rPr>
        <w:t>.2</w:t>
      </w:r>
      <w:r>
        <w:rPr>
          <w:rFonts w:hint="eastAsia" w:ascii="宋体" w:eastAsia="宋体" w:cs="Times New Roman"/>
          <w:bCs w:val="0"/>
          <w:i w:val="0"/>
          <w:iCs w:val="0"/>
          <w:caps w:val="0"/>
          <w:strike w:val="0"/>
          <w:dstrike w:val="0"/>
          <w:vanish w:val="0"/>
          <w:spacing w:val="0"/>
          <w:kern w:val="2"/>
          <w:position w:val="0"/>
          <w:szCs w:val="21"/>
          <w:vertAlign w:val="baseline"/>
          <w:lang w:val="en-US" w:eastAsia="zh-CN"/>
        </w:rPr>
        <w:t>　辽宁ETC发行机构</w:t>
      </w:r>
      <w:r>
        <w:rPr>
          <w:rFonts w:hint="eastAsia"/>
        </w:rPr>
        <w:tab/>
      </w:r>
      <w:r>
        <w:rPr>
          <w:rFonts w:hint="eastAsia"/>
        </w:rPr>
        <w:fldChar w:fldCharType="begin"/>
      </w:r>
      <w:r>
        <w:rPr>
          <w:rFonts w:hint="eastAsia"/>
        </w:rPr>
        <w:instrText xml:space="preserve"> PAGEREF _Toc27524 \h </w:instrText>
      </w:r>
      <w:r>
        <w:rPr>
          <w:rFonts w:hint="eastAsia"/>
        </w:rPr>
        <w:fldChar w:fldCharType="separate"/>
      </w:r>
      <w:r>
        <w:rPr>
          <w:rFonts w:hint="eastAsia"/>
        </w:rPr>
        <w:t>4</w:t>
      </w:r>
      <w:r>
        <w:rPr>
          <w:rFonts w:hint="eastAsia"/>
        </w:rPr>
        <w:fldChar w:fldCharType="end"/>
      </w:r>
      <w:r>
        <w:rPr>
          <w:rFonts w:hint="eastAsia"/>
        </w:rPr>
        <w:fldChar w:fldCharType="end"/>
      </w:r>
    </w:p>
    <w:p>
      <w:pPr>
        <w:pStyle w:val="7"/>
        <w:tabs>
          <w:tab w:val="right" w:leader="dot" w:pos="9355"/>
          <w:tab w:val="clear" w:pos="9242"/>
        </w:tabs>
      </w:pPr>
      <w:r>
        <w:rPr>
          <w:rFonts w:hint="eastAsia"/>
        </w:rPr>
        <w:fldChar w:fldCharType="begin"/>
      </w:r>
      <w:r>
        <w:rPr>
          <w:rFonts w:hint="eastAsia"/>
        </w:rPr>
        <w:instrText xml:space="preserve"> HYPERLINK \l _Toc426 </w:instrText>
      </w:r>
      <w:r>
        <w:rPr>
          <w:rFonts w:hint="eastAsia"/>
        </w:rPr>
        <w:fldChar w:fldCharType="separate"/>
      </w:r>
      <w:r>
        <w:rPr>
          <w:rFonts w:hint="eastAsia" w:ascii="黑体" w:hAnsi="Times New Roman" w:eastAsia="黑体"/>
          <w:i w:val="0"/>
          <w:szCs w:val="21"/>
          <w:lang w:val="en-US" w:eastAsia="zh-CN"/>
        </w:rPr>
        <w:t>7</w:t>
      </w:r>
      <w:r>
        <w:rPr>
          <w:rFonts w:hint="eastAsia" w:ascii="黑体" w:eastAsia="黑体"/>
          <w:i w:val="0"/>
          <w:szCs w:val="21"/>
          <w:lang w:val="en-US" w:eastAsia="zh-CN"/>
        </w:rPr>
        <w:t>　</w:t>
      </w:r>
      <w:r>
        <w:rPr>
          <w:rFonts w:hint="eastAsia"/>
          <w:szCs w:val="22"/>
          <w:lang w:val="en-US" w:eastAsia="zh-CN"/>
        </w:rPr>
        <w:t>运维目标</w:t>
      </w:r>
      <w:r>
        <w:tab/>
      </w:r>
      <w:r>
        <w:fldChar w:fldCharType="begin"/>
      </w:r>
      <w:r>
        <w:instrText xml:space="preserve"> PAGEREF _Toc426 \h </w:instrText>
      </w:r>
      <w:r>
        <w:fldChar w:fldCharType="separate"/>
      </w:r>
      <w:r>
        <w:t>3</w:t>
      </w:r>
      <w:r>
        <w:fldChar w:fldCharType="end"/>
      </w:r>
      <w:r>
        <w:rPr>
          <w:rFonts w:hint="eastAsia"/>
        </w:rPr>
        <w:fldChar w:fldCharType="end"/>
      </w:r>
    </w:p>
    <w:p>
      <w:pPr>
        <w:pStyle w:val="7"/>
        <w:tabs>
          <w:tab w:val="right" w:leader="dot" w:pos="9355"/>
          <w:tab w:val="clear" w:pos="9242"/>
        </w:tabs>
      </w:pPr>
      <w:r>
        <w:rPr>
          <w:rFonts w:hint="eastAsia"/>
        </w:rPr>
        <w:fldChar w:fldCharType="begin"/>
      </w:r>
      <w:r>
        <w:rPr>
          <w:rFonts w:hint="eastAsia"/>
        </w:rPr>
        <w:instrText xml:space="preserve"> HYPERLINK \l _Toc5829 </w:instrText>
      </w:r>
      <w:r>
        <w:rPr>
          <w:rFonts w:hint="eastAsia"/>
        </w:rPr>
        <w:fldChar w:fldCharType="separate"/>
      </w:r>
      <w:r>
        <w:rPr>
          <w:rFonts w:hint="eastAsia" w:ascii="黑体" w:hAnsi="Times New Roman" w:eastAsia="黑体"/>
          <w:i w:val="0"/>
          <w:szCs w:val="21"/>
          <w:lang w:val="en-US" w:eastAsia="zh-CN"/>
        </w:rPr>
        <w:t>8</w:t>
      </w:r>
      <w:r>
        <w:rPr>
          <w:rFonts w:hint="eastAsia" w:ascii="黑体" w:eastAsia="黑体"/>
          <w:i w:val="0"/>
          <w:szCs w:val="21"/>
          <w:lang w:val="en-US" w:eastAsia="zh-CN"/>
        </w:rPr>
        <w:t>　</w:t>
      </w:r>
      <w:r>
        <w:rPr>
          <w:rFonts w:hint="eastAsia"/>
          <w:szCs w:val="22"/>
          <w:lang w:val="en-US" w:eastAsia="zh-CN"/>
        </w:rPr>
        <w:t>运维范围</w:t>
      </w:r>
      <w:r>
        <w:tab/>
      </w:r>
      <w:r>
        <w:fldChar w:fldCharType="begin"/>
      </w:r>
      <w:r>
        <w:instrText xml:space="preserve"> PAGEREF _Toc5829 \h </w:instrText>
      </w:r>
      <w:r>
        <w:fldChar w:fldCharType="separate"/>
      </w:r>
      <w:r>
        <w:t>3</w:t>
      </w:r>
      <w:r>
        <w:fldChar w:fldCharType="end"/>
      </w:r>
      <w:r>
        <w:rPr>
          <w:rFonts w:hint="eastAsia"/>
        </w:rPr>
        <w:fldChar w:fldCharType="end"/>
      </w:r>
    </w:p>
    <w:p>
      <w:pPr>
        <w:pStyle w:val="7"/>
        <w:tabs>
          <w:tab w:val="right" w:leader="dot" w:pos="9355"/>
          <w:tab w:val="clear" w:pos="9242"/>
        </w:tabs>
      </w:pPr>
      <w:r>
        <w:rPr>
          <w:rFonts w:hint="eastAsia"/>
        </w:rPr>
        <w:fldChar w:fldCharType="begin"/>
      </w:r>
      <w:r>
        <w:rPr>
          <w:rFonts w:hint="eastAsia"/>
        </w:rPr>
        <w:instrText xml:space="preserve"> HYPERLINK \l _Toc15261 </w:instrText>
      </w:r>
      <w:r>
        <w:rPr>
          <w:rFonts w:hint="eastAsia"/>
        </w:rPr>
        <w:fldChar w:fldCharType="separate"/>
      </w:r>
      <w:r>
        <w:rPr>
          <w:rFonts w:hint="eastAsia" w:ascii="黑体" w:hAnsi="Times New Roman" w:eastAsia="黑体"/>
          <w:i w:val="0"/>
          <w:szCs w:val="21"/>
          <w:lang w:val="en-US" w:eastAsia="zh-CN"/>
        </w:rPr>
        <w:t>9</w:t>
      </w:r>
      <w:r>
        <w:rPr>
          <w:rFonts w:hint="eastAsia" w:ascii="黑体" w:eastAsia="黑体"/>
          <w:i w:val="0"/>
          <w:szCs w:val="21"/>
          <w:lang w:val="en-US" w:eastAsia="zh-CN"/>
        </w:rPr>
        <w:t>　</w:t>
      </w:r>
      <w:r>
        <w:rPr>
          <w:rFonts w:hint="eastAsia"/>
          <w:szCs w:val="22"/>
          <w:lang w:val="en-US" w:eastAsia="zh-CN"/>
        </w:rPr>
        <w:t>整体要求</w:t>
      </w:r>
      <w:r>
        <w:tab/>
      </w:r>
      <w:r>
        <w:fldChar w:fldCharType="begin"/>
      </w:r>
      <w:r>
        <w:instrText xml:space="preserve"> PAGEREF _Toc15261 \h </w:instrText>
      </w:r>
      <w:r>
        <w:fldChar w:fldCharType="separate"/>
      </w:r>
      <w:r>
        <w:t>4</w:t>
      </w:r>
      <w:r>
        <w:fldChar w:fldCharType="end"/>
      </w:r>
      <w:r>
        <w:rPr>
          <w:rFonts w:hint="eastAsia"/>
        </w:rPr>
        <w:fldChar w:fldCharType="end"/>
      </w:r>
    </w:p>
    <w:p>
      <w:pPr>
        <w:pStyle w:val="3"/>
        <w:tabs>
          <w:tab w:val="right" w:leader="dot" w:pos="9355"/>
          <w:tab w:val="clear" w:pos="9241"/>
        </w:tabs>
      </w:pPr>
      <w:r>
        <w:rPr>
          <w:rFonts w:hint="eastAsia"/>
        </w:rPr>
        <w:fldChar w:fldCharType="begin"/>
      </w:r>
      <w:r>
        <w:rPr>
          <w:rFonts w:hint="eastAsia"/>
        </w:rPr>
        <w:instrText xml:space="preserve"> HYPERLINK \l _Toc31244 </w:instrText>
      </w:r>
      <w:r>
        <w:rPr>
          <w:rFonts w:hint="eastAsia"/>
        </w:rPr>
        <w:fldChar w:fldCharType="separate"/>
      </w:r>
      <w:r>
        <w:rPr>
          <w:rFonts w:hint="eastAsia" w:ascii="黑体" w:hAnsi="Times New Roman" w:eastAsia="黑体" w:cs="Times New Roman"/>
          <w:bCs w:val="0"/>
          <w:i w:val="0"/>
          <w:iCs w:val="0"/>
          <w:caps w:val="0"/>
          <w:strike w:val="0"/>
          <w:dstrike w:val="0"/>
          <w:vanish w:val="0"/>
          <w:spacing w:val="0"/>
          <w:kern w:val="0"/>
          <w:position w:val="0"/>
          <w:szCs w:val="21"/>
          <w:vertAlign w:val="baseline"/>
          <w:lang w:val="en-US" w:eastAsia="zh-CN"/>
        </w:rPr>
        <w:t>9.1</w:t>
      </w:r>
      <w:r>
        <w:rPr>
          <w:rFonts w:hint="eastAsia" w:ascii="黑体" w:eastAsia="黑体" w:cs="Times New Roman"/>
          <w:bCs w:val="0"/>
          <w:i w:val="0"/>
          <w:iCs w:val="0"/>
          <w:caps w:val="0"/>
          <w:strike w:val="0"/>
          <w:dstrike w:val="0"/>
          <w:vanish w:val="0"/>
          <w:spacing w:val="0"/>
          <w:kern w:val="0"/>
          <w:position w:val="0"/>
          <w:szCs w:val="21"/>
          <w:vertAlign w:val="baseline"/>
          <w:lang w:val="en-US" w:eastAsia="zh-CN"/>
        </w:rPr>
        <w:t>　</w:t>
      </w:r>
      <w:r>
        <w:rPr>
          <w:rFonts w:hint="eastAsia"/>
          <w:szCs w:val="22"/>
          <w:lang w:val="en-US" w:eastAsia="zh-CN"/>
        </w:rPr>
        <w:t>分工专业化</w:t>
      </w:r>
      <w:r>
        <w:tab/>
      </w:r>
      <w:r>
        <w:fldChar w:fldCharType="begin"/>
      </w:r>
      <w:r>
        <w:instrText xml:space="preserve"> PAGEREF _Toc31244 \h </w:instrText>
      </w:r>
      <w:r>
        <w:fldChar w:fldCharType="separate"/>
      </w:r>
      <w:r>
        <w:t>4</w:t>
      </w:r>
      <w:r>
        <w:fldChar w:fldCharType="end"/>
      </w:r>
      <w:r>
        <w:rPr>
          <w:rFonts w:hint="eastAsia"/>
        </w:rPr>
        <w:fldChar w:fldCharType="end"/>
      </w:r>
    </w:p>
    <w:p>
      <w:pPr>
        <w:pStyle w:val="3"/>
        <w:tabs>
          <w:tab w:val="right" w:leader="dot" w:pos="9355"/>
          <w:tab w:val="clear" w:pos="9241"/>
        </w:tabs>
      </w:pPr>
      <w:r>
        <w:rPr>
          <w:rFonts w:hint="eastAsia"/>
        </w:rPr>
        <w:fldChar w:fldCharType="begin"/>
      </w:r>
      <w:r>
        <w:rPr>
          <w:rFonts w:hint="eastAsia"/>
        </w:rPr>
        <w:instrText xml:space="preserve"> HYPERLINK \l _Toc27524 </w:instrText>
      </w:r>
      <w:r>
        <w:rPr>
          <w:rFonts w:hint="eastAsia"/>
        </w:rPr>
        <w:fldChar w:fldCharType="separate"/>
      </w:r>
      <w:r>
        <w:rPr>
          <w:rFonts w:hint="eastAsia" w:ascii="黑体" w:hAnsi="Times New Roman" w:eastAsia="黑体" w:cs="Times New Roman"/>
          <w:bCs w:val="0"/>
          <w:i w:val="0"/>
          <w:iCs w:val="0"/>
          <w:caps w:val="0"/>
          <w:strike w:val="0"/>
          <w:dstrike w:val="0"/>
          <w:vanish w:val="0"/>
          <w:spacing w:val="0"/>
          <w:kern w:val="0"/>
          <w:position w:val="0"/>
          <w:szCs w:val="21"/>
          <w:vertAlign w:val="baseline"/>
          <w:lang w:val="en-US" w:eastAsia="zh-CN"/>
        </w:rPr>
        <w:t>9.2</w:t>
      </w:r>
      <w:r>
        <w:rPr>
          <w:rFonts w:hint="eastAsia" w:ascii="黑体" w:eastAsia="黑体" w:cs="Times New Roman"/>
          <w:bCs w:val="0"/>
          <w:i w:val="0"/>
          <w:iCs w:val="0"/>
          <w:caps w:val="0"/>
          <w:strike w:val="0"/>
          <w:dstrike w:val="0"/>
          <w:vanish w:val="0"/>
          <w:spacing w:val="0"/>
          <w:kern w:val="0"/>
          <w:position w:val="0"/>
          <w:szCs w:val="21"/>
          <w:vertAlign w:val="baseline"/>
          <w:lang w:val="en-US" w:eastAsia="zh-CN"/>
        </w:rPr>
        <w:t>　</w:t>
      </w:r>
      <w:r>
        <w:rPr>
          <w:rFonts w:hint="eastAsia"/>
          <w:szCs w:val="22"/>
          <w:lang w:val="en-US" w:eastAsia="zh-CN"/>
        </w:rPr>
        <w:t>工作精细化</w:t>
      </w:r>
      <w:r>
        <w:tab/>
      </w:r>
      <w:r>
        <w:fldChar w:fldCharType="begin"/>
      </w:r>
      <w:r>
        <w:instrText xml:space="preserve"> PAGEREF _Toc27524 \h </w:instrText>
      </w:r>
      <w:r>
        <w:fldChar w:fldCharType="separate"/>
      </w:r>
      <w:r>
        <w:t>4</w:t>
      </w:r>
      <w:r>
        <w:fldChar w:fldCharType="end"/>
      </w:r>
      <w:r>
        <w:rPr>
          <w:rFonts w:hint="eastAsia"/>
        </w:rPr>
        <w:fldChar w:fldCharType="end"/>
      </w:r>
    </w:p>
    <w:p>
      <w:pPr>
        <w:pStyle w:val="3"/>
        <w:tabs>
          <w:tab w:val="right" w:leader="dot" w:pos="9355"/>
          <w:tab w:val="clear" w:pos="9241"/>
        </w:tabs>
      </w:pPr>
      <w:r>
        <w:rPr>
          <w:rFonts w:hint="eastAsia"/>
        </w:rPr>
        <w:fldChar w:fldCharType="begin"/>
      </w:r>
      <w:r>
        <w:rPr>
          <w:rFonts w:hint="eastAsia"/>
        </w:rPr>
        <w:instrText xml:space="preserve"> HYPERLINK \l _Toc13760 </w:instrText>
      </w:r>
      <w:r>
        <w:rPr>
          <w:rFonts w:hint="eastAsia"/>
        </w:rPr>
        <w:fldChar w:fldCharType="separate"/>
      </w:r>
      <w:r>
        <w:rPr>
          <w:rFonts w:hint="eastAsia" w:ascii="黑体" w:hAnsi="Times New Roman" w:eastAsia="黑体" w:cs="Times New Roman"/>
          <w:bCs w:val="0"/>
          <w:i w:val="0"/>
          <w:iCs w:val="0"/>
          <w:caps w:val="0"/>
          <w:strike w:val="0"/>
          <w:dstrike w:val="0"/>
          <w:vanish w:val="0"/>
          <w:spacing w:val="0"/>
          <w:kern w:val="0"/>
          <w:position w:val="0"/>
          <w:szCs w:val="21"/>
          <w:vertAlign w:val="baseline"/>
          <w:lang w:val="en-US" w:eastAsia="zh-CN"/>
        </w:rPr>
        <w:t>9.3</w:t>
      </w:r>
      <w:r>
        <w:rPr>
          <w:rFonts w:hint="eastAsia" w:ascii="黑体" w:eastAsia="黑体" w:cs="Times New Roman"/>
          <w:bCs w:val="0"/>
          <w:i w:val="0"/>
          <w:iCs w:val="0"/>
          <w:caps w:val="0"/>
          <w:strike w:val="0"/>
          <w:dstrike w:val="0"/>
          <w:vanish w:val="0"/>
          <w:spacing w:val="0"/>
          <w:kern w:val="0"/>
          <w:position w:val="0"/>
          <w:szCs w:val="21"/>
          <w:vertAlign w:val="baseline"/>
          <w:lang w:val="en-US" w:eastAsia="zh-CN"/>
        </w:rPr>
        <w:t>　</w:t>
      </w:r>
      <w:r>
        <w:rPr>
          <w:rFonts w:hint="eastAsia"/>
          <w:szCs w:val="22"/>
          <w:lang w:val="en-US" w:eastAsia="zh-CN"/>
        </w:rPr>
        <w:t>服务流程化</w:t>
      </w:r>
      <w:r>
        <w:tab/>
      </w:r>
      <w:r>
        <w:fldChar w:fldCharType="begin"/>
      </w:r>
      <w:r>
        <w:instrText xml:space="preserve"> PAGEREF _Toc13760 \h </w:instrText>
      </w:r>
      <w:r>
        <w:fldChar w:fldCharType="separate"/>
      </w:r>
      <w:r>
        <w:t>4</w:t>
      </w:r>
      <w:r>
        <w:fldChar w:fldCharType="end"/>
      </w:r>
      <w:r>
        <w:rPr>
          <w:rFonts w:hint="eastAsia"/>
        </w:rPr>
        <w:fldChar w:fldCharType="end"/>
      </w:r>
    </w:p>
    <w:p>
      <w:pPr>
        <w:pStyle w:val="3"/>
        <w:tabs>
          <w:tab w:val="right" w:leader="dot" w:pos="9355"/>
          <w:tab w:val="clear" w:pos="9241"/>
        </w:tabs>
      </w:pPr>
      <w:r>
        <w:rPr>
          <w:rFonts w:hint="eastAsia"/>
        </w:rPr>
        <w:fldChar w:fldCharType="begin"/>
      </w:r>
      <w:r>
        <w:rPr>
          <w:rFonts w:hint="eastAsia"/>
        </w:rPr>
        <w:instrText xml:space="preserve"> HYPERLINK \l _Toc19539 </w:instrText>
      </w:r>
      <w:r>
        <w:rPr>
          <w:rFonts w:hint="eastAsia"/>
        </w:rPr>
        <w:fldChar w:fldCharType="separate"/>
      </w:r>
      <w:r>
        <w:rPr>
          <w:rFonts w:hint="eastAsia" w:ascii="黑体" w:hAnsi="Times New Roman" w:eastAsia="黑体" w:cs="Times New Roman"/>
          <w:bCs w:val="0"/>
          <w:i w:val="0"/>
          <w:iCs w:val="0"/>
          <w:caps w:val="0"/>
          <w:strike w:val="0"/>
          <w:dstrike w:val="0"/>
          <w:vanish w:val="0"/>
          <w:spacing w:val="0"/>
          <w:kern w:val="0"/>
          <w:position w:val="0"/>
          <w:szCs w:val="21"/>
          <w:vertAlign w:val="baseline"/>
          <w:lang w:val="en-US" w:eastAsia="zh-CN"/>
        </w:rPr>
        <w:t>9.4</w:t>
      </w:r>
      <w:r>
        <w:rPr>
          <w:rFonts w:hint="eastAsia" w:ascii="黑体" w:eastAsia="黑体" w:cs="Times New Roman"/>
          <w:bCs w:val="0"/>
          <w:i w:val="0"/>
          <w:iCs w:val="0"/>
          <w:caps w:val="0"/>
          <w:strike w:val="0"/>
          <w:dstrike w:val="0"/>
          <w:vanish w:val="0"/>
          <w:spacing w:val="0"/>
          <w:kern w:val="0"/>
          <w:position w:val="0"/>
          <w:szCs w:val="21"/>
          <w:vertAlign w:val="baseline"/>
          <w:lang w:val="en-US" w:eastAsia="zh-CN"/>
        </w:rPr>
        <w:t>　</w:t>
      </w:r>
      <w:r>
        <w:rPr>
          <w:rFonts w:hint="eastAsia"/>
          <w:szCs w:val="22"/>
          <w:lang w:val="en-US" w:eastAsia="zh-CN"/>
        </w:rPr>
        <w:t>操作规范化</w:t>
      </w:r>
      <w:r>
        <w:tab/>
      </w:r>
      <w:r>
        <w:fldChar w:fldCharType="begin"/>
      </w:r>
      <w:r>
        <w:instrText xml:space="preserve"> PAGEREF _Toc19539 \h </w:instrText>
      </w:r>
      <w:r>
        <w:fldChar w:fldCharType="separate"/>
      </w:r>
      <w:r>
        <w:t>4</w:t>
      </w:r>
      <w:r>
        <w:fldChar w:fldCharType="end"/>
      </w:r>
      <w:r>
        <w:rPr>
          <w:rFonts w:hint="eastAsia"/>
        </w:rPr>
        <w:fldChar w:fldCharType="end"/>
      </w:r>
    </w:p>
    <w:p>
      <w:pPr>
        <w:pStyle w:val="3"/>
        <w:tabs>
          <w:tab w:val="right" w:leader="dot" w:pos="9355"/>
          <w:tab w:val="clear" w:pos="9241"/>
        </w:tabs>
      </w:pPr>
      <w:r>
        <w:rPr>
          <w:rFonts w:hint="eastAsia"/>
        </w:rPr>
        <w:fldChar w:fldCharType="begin"/>
      </w:r>
      <w:r>
        <w:rPr>
          <w:rFonts w:hint="eastAsia"/>
        </w:rPr>
        <w:instrText xml:space="preserve"> HYPERLINK \l _Toc30002 </w:instrText>
      </w:r>
      <w:r>
        <w:rPr>
          <w:rFonts w:hint="eastAsia"/>
        </w:rPr>
        <w:fldChar w:fldCharType="separate"/>
      </w:r>
      <w:r>
        <w:rPr>
          <w:rFonts w:hint="eastAsia" w:ascii="黑体" w:hAnsi="Times New Roman" w:eastAsia="黑体" w:cs="Times New Roman"/>
          <w:bCs w:val="0"/>
          <w:i w:val="0"/>
          <w:iCs w:val="0"/>
          <w:caps w:val="0"/>
          <w:strike w:val="0"/>
          <w:dstrike w:val="0"/>
          <w:vanish w:val="0"/>
          <w:spacing w:val="0"/>
          <w:kern w:val="0"/>
          <w:position w:val="0"/>
          <w:szCs w:val="21"/>
          <w:vertAlign w:val="baseline"/>
          <w:lang w:val="en-US" w:eastAsia="zh-CN"/>
        </w:rPr>
        <w:t>9.5</w:t>
      </w:r>
      <w:r>
        <w:rPr>
          <w:rFonts w:hint="eastAsia" w:ascii="黑体" w:eastAsia="黑体" w:cs="Times New Roman"/>
          <w:bCs w:val="0"/>
          <w:i w:val="0"/>
          <w:iCs w:val="0"/>
          <w:caps w:val="0"/>
          <w:strike w:val="0"/>
          <w:dstrike w:val="0"/>
          <w:vanish w:val="0"/>
          <w:spacing w:val="0"/>
          <w:kern w:val="0"/>
          <w:position w:val="0"/>
          <w:szCs w:val="21"/>
          <w:vertAlign w:val="baseline"/>
          <w:lang w:val="en-US" w:eastAsia="zh-CN"/>
        </w:rPr>
        <w:t>　</w:t>
      </w:r>
      <w:r>
        <w:rPr>
          <w:rFonts w:hint="eastAsia"/>
          <w:szCs w:val="22"/>
          <w:lang w:val="en-US" w:eastAsia="zh-CN"/>
        </w:rPr>
        <w:t>运维自动化</w:t>
      </w:r>
      <w:r>
        <w:tab/>
      </w:r>
      <w:r>
        <w:fldChar w:fldCharType="begin"/>
      </w:r>
      <w:r>
        <w:instrText xml:space="preserve"> PAGEREF _Toc30002 \h </w:instrText>
      </w:r>
      <w:r>
        <w:fldChar w:fldCharType="separate"/>
      </w:r>
      <w:r>
        <w:t>4</w:t>
      </w:r>
      <w:r>
        <w:fldChar w:fldCharType="end"/>
      </w:r>
      <w:r>
        <w:rPr>
          <w:rFonts w:hint="eastAsia"/>
        </w:rPr>
        <w:fldChar w:fldCharType="end"/>
      </w:r>
    </w:p>
    <w:p>
      <w:pPr>
        <w:pStyle w:val="3"/>
        <w:tabs>
          <w:tab w:val="right" w:leader="dot" w:pos="9355"/>
          <w:tab w:val="clear" w:pos="9241"/>
        </w:tabs>
      </w:pPr>
      <w:r>
        <w:rPr>
          <w:rFonts w:hint="eastAsia"/>
        </w:rPr>
        <w:fldChar w:fldCharType="begin"/>
      </w:r>
      <w:r>
        <w:rPr>
          <w:rFonts w:hint="eastAsia"/>
        </w:rPr>
        <w:instrText xml:space="preserve"> HYPERLINK \l _Toc3967 </w:instrText>
      </w:r>
      <w:r>
        <w:rPr>
          <w:rFonts w:hint="eastAsia"/>
        </w:rPr>
        <w:fldChar w:fldCharType="separate"/>
      </w:r>
      <w:r>
        <w:rPr>
          <w:rFonts w:hint="eastAsia" w:ascii="黑体" w:hAnsi="Times New Roman" w:eastAsia="黑体" w:cs="Times New Roman"/>
          <w:bCs w:val="0"/>
          <w:i w:val="0"/>
          <w:iCs w:val="0"/>
          <w:caps w:val="0"/>
          <w:strike w:val="0"/>
          <w:dstrike w:val="0"/>
          <w:vanish w:val="0"/>
          <w:spacing w:val="0"/>
          <w:kern w:val="0"/>
          <w:position w:val="0"/>
          <w:szCs w:val="21"/>
          <w:vertAlign w:val="baseline"/>
          <w:lang w:val="en-US" w:eastAsia="zh-CN"/>
        </w:rPr>
        <w:t>9.6</w:t>
      </w:r>
      <w:r>
        <w:rPr>
          <w:rFonts w:hint="eastAsia" w:ascii="黑体" w:eastAsia="黑体" w:cs="Times New Roman"/>
          <w:bCs w:val="0"/>
          <w:i w:val="0"/>
          <w:iCs w:val="0"/>
          <w:caps w:val="0"/>
          <w:strike w:val="0"/>
          <w:dstrike w:val="0"/>
          <w:vanish w:val="0"/>
          <w:spacing w:val="0"/>
          <w:kern w:val="0"/>
          <w:position w:val="0"/>
          <w:szCs w:val="21"/>
          <w:vertAlign w:val="baseline"/>
          <w:lang w:val="en-US" w:eastAsia="zh-CN"/>
        </w:rPr>
        <w:t>　</w:t>
      </w:r>
      <w:r>
        <w:rPr>
          <w:rFonts w:hint="eastAsia"/>
          <w:szCs w:val="22"/>
          <w:lang w:val="en-US" w:eastAsia="zh-CN"/>
        </w:rPr>
        <w:t>运维知识库</w:t>
      </w:r>
      <w:r>
        <w:tab/>
      </w:r>
      <w:r>
        <w:fldChar w:fldCharType="begin"/>
      </w:r>
      <w:r>
        <w:instrText xml:space="preserve"> PAGEREF _Toc3967 \h </w:instrText>
      </w:r>
      <w:r>
        <w:fldChar w:fldCharType="separate"/>
      </w:r>
      <w:r>
        <w:t>5</w:t>
      </w:r>
      <w:r>
        <w:fldChar w:fldCharType="end"/>
      </w:r>
      <w:r>
        <w:rPr>
          <w:rFonts w:hint="eastAsia"/>
        </w:rPr>
        <w:fldChar w:fldCharType="end"/>
      </w:r>
    </w:p>
    <w:p>
      <w:pPr>
        <w:pStyle w:val="7"/>
        <w:tabs>
          <w:tab w:val="right" w:leader="dot" w:pos="9355"/>
          <w:tab w:val="clear" w:pos="9242"/>
        </w:tabs>
      </w:pPr>
      <w:r>
        <w:rPr>
          <w:rFonts w:hint="eastAsia"/>
        </w:rPr>
        <w:fldChar w:fldCharType="begin"/>
      </w:r>
      <w:r>
        <w:rPr>
          <w:rFonts w:hint="eastAsia"/>
        </w:rPr>
        <w:instrText xml:space="preserve"> HYPERLINK \l _Toc12743 </w:instrText>
      </w:r>
      <w:r>
        <w:rPr>
          <w:rFonts w:hint="eastAsia"/>
        </w:rPr>
        <w:fldChar w:fldCharType="separate"/>
      </w:r>
      <w:r>
        <w:rPr>
          <w:rFonts w:hint="eastAsia" w:ascii="黑体" w:hAnsi="Times New Roman" w:eastAsia="黑体"/>
          <w:i w:val="0"/>
          <w:szCs w:val="21"/>
          <w:lang w:val="en-US" w:eastAsia="zh-CN"/>
        </w:rPr>
        <w:t>10</w:t>
      </w:r>
      <w:r>
        <w:rPr>
          <w:rFonts w:hint="eastAsia" w:ascii="黑体" w:eastAsia="黑体"/>
          <w:i w:val="0"/>
          <w:szCs w:val="21"/>
          <w:lang w:val="en-US" w:eastAsia="zh-CN"/>
        </w:rPr>
        <w:t>　</w:t>
      </w:r>
      <w:r>
        <w:rPr>
          <w:rFonts w:hint="eastAsia"/>
          <w:szCs w:val="22"/>
          <w:lang w:val="en-US" w:eastAsia="zh-CN"/>
        </w:rPr>
        <w:t>运维标准</w:t>
      </w:r>
      <w:r>
        <w:tab/>
      </w:r>
      <w:r>
        <w:fldChar w:fldCharType="begin"/>
      </w:r>
      <w:r>
        <w:instrText xml:space="preserve"> PAGEREF _Toc12743 \h </w:instrText>
      </w:r>
      <w:r>
        <w:fldChar w:fldCharType="separate"/>
      </w:r>
      <w:r>
        <w:t>5</w:t>
      </w:r>
      <w:r>
        <w:fldChar w:fldCharType="end"/>
      </w:r>
      <w:r>
        <w:rPr>
          <w:rFonts w:hint="eastAsia"/>
        </w:rPr>
        <w:fldChar w:fldCharType="end"/>
      </w:r>
    </w:p>
    <w:p>
      <w:pPr>
        <w:pStyle w:val="7"/>
        <w:tabs>
          <w:tab w:val="right" w:leader="dot" w:pos="9355"/>
          <w:tab w:val="clear" w:pos="9242"/>
        </w:tabs>
      </w:pPr>
      <w:r>
        <w:rPr>
          <w:rFonts w:hint="eastAsia"/>
        </w:rPr>
        <w:fldChar w:fldCharType="begin"/>
      </w:r>
      <w:r>
        <w:rPr>
          <w:rFonts w:hint="eastAsia"/>
        </w:rPr>
        <w:instrText xml:space="preserve"> HYPERLINK \l _Toc10134 </w:instrText>
      </w:r>
      <w:r>
        <w:rPr>
          <w:rFonts w:hint="eastAsia"/>
        </w:rPr>
        <w:fldChar w:fldCharType="separate"/>
      </w:r>
      <w:r>
        <w:rPr>
          <w:rFonts w:hint="eastAsia" w:ascii="黑体" w:hAnsi="Times New Roman" w:eastAsia="黑体"/>
          <w:i w:val="0"/>
          <w:szCs w:val="21"/>
          <w:lang w:val="en-US" w:eastAsia="zh-CN"/>
        </w:rPr>
        <w:t>11</w:t>
      </w:r>
      <w:r>
        <w:rPr>
          <w:rFonts w:hint="eastAsia" w:ascii="黑体" w:eastAsia="黑体"/>
          <w:i w:val="0"/>
          <w:szCs w:val="21"/>
          <w:lang w:val="en-US" w:eastAsia="zh-CN"/>
        </w:rPr>
        <w:t>　</w:t>
      </w:r>
      <w:r>
        <w:rPr>
          <w:rFonts w:hint="eastAsia"/>
          <w:szCs w:val="22"/>
          <w:lang w:val="en-US" w:eastAsia="zh-CN"/>
        </w:rPr>
        <w:t>停车场（库）ETC VI标识运维</w:t>
      </w:r>
      <w:r>
        <w:tab/>
      </w:r>
      <w:r>
        <w:fldChar w:fldCharType="begin"/>
      </w:r>
      <w:r>
        <w:instrText xml:space="preserve"> PAGEREF _Toc10134 \h </w:instrText>
      </w:r>
      <w:r>
        <w:fldChar w:fldCharType="separate"/>
      </w:r>
      <w:r>
        <w:t>6</w:t>
      </w:r>
      <w:r>
        <w:fldChar w:fldCharType="end"/>
      </w:r>
      <w:r>
        <w:rPr>
          <w:rFonts w:hint="eastAsia"/>
        </w:rPr>
        <w:fldChar w:fldCharType="end"/>
      </w:r>
    </w:p>
    <w:p>
      <w:pPr>
        <w:pStyle w:val="3"/>
        <w:tabs>
          <w:tab w:val="right" w:leader="dot" w:pos="9355"/>
          <w:tab w:val="clear" w:pos="9241"/>
        </w:tabs>
      </w:pPr>
      <w:r>
        <w:rPr>
          <w:rFonts w:hint="eastAsia"/>
        </w:rPr>
        <w:fldChar w:fldCharType="begin"/>
      </w:r>
      <w:r>
        <w:rPr>
          <w:rFonts w:hint="eastAsia"/>
        </w:rPr>
        <w:instrText xml:space="preserve"> HYPERLINK \l _Toc24489 </w:instrText>
      </w:r>
      <w:r>
        <w:rPr>
          <w:rFonts w:hint="eastAsia"/>
        </w:rPr>
        <w:fldChar w:fldCharType="separate"/>
      </w:r>
      <w:r>
        <w:rPr>
          <w:rFonts w:hint="eastAsia" w:ascii="黑体" w:hAnsi="Times New Roman" w:eastAsia="黑体" w:cs="Times New Roman"/>
          <w:bCs w:val="0"/>
          <w:i w:val="0"/>
          <w:iCs w:val="0"/>
          <w:caps w:val="0"/>
          <w:strike w:val="0"/>
          <w:dstrike w:val="0"/>
          <w:vanish w:val="0"/>
          <w:spacing w:val="0"/>
          <w:kern w:val="0"/>
          <w:position w:val="0"/>
          <w:szCs w:val="21"/>
          <w:vertAlign w:val="baseline"/>
          <w:lang w:val="en-US" w:eastAsia="zh-CN"/>
        </w:rPr>
        <w:t>11.1</w:t>
      </w:r>
      <w:r>
        <w:rPr>
          <w:rFonts w:hint="eastAsia" w:ascii="黑体" w:eastAsia="黑体" w:cs="Times New Roman"/>
          <w:bCs w:val="0"/>
          <w:i w:val="0"/>
          <w:iCs w:val="0"/>
          <w:caps w:val="0"/>
          <w:strike w:val="0"/>
          <w:dstrike w:val="0"/>
          <w:vanish w:val="0"/>
          <w:spacing w:val="0"/>
          <w:kern w:val="0"/>
          <w:position w:val="0"/>
          <w:szCs w:val="21"/>
          <w:vertAlign w:val="baseline"/>
          <w:lang w:val="en-US" w:eastAsia="zh-CN"/>
        </w:rPr>
        <w:t>　</w:t>
      </w:r>
      <w:r>
        <w:rPr>
          <w:rFonts w:hint="eastAsia"/>
          <w:szCs w:val="22"/>
          <w:lang w:val="en-US" w:eastAsia="zh-CN"/>
        </w:rPr>
        <w:t>目的</w:t>
      </w:r>
      <w:r>
        <w:tab/>
      </w:r>
      <w:r>
        <w:fldChar w:fldCharType="begin"/>
      </w:r>
      <w:r>
        <w:instrText xml:space="preserve"> PAGEREF _Toc24489 \h </w:instrText>
      </w:r>
      <w:r>
        <w:fldChar w:fldCharType="separate"/>
      </w:r>
      <w:r>
        <w:t>6</w:t>
      </w:r>
      <w:r>
        <w:fldChar w:fldCharType="end"/>
      </w:r>
      <w:r>
        <w:rPr>
          <w:rFonts w:hint="eastAsia"/>
        </w:rPr>
        <w:fldChar w:fldCharType="end"/>
      </w:r>
    </w:p>
    <w:p>
      <w:pPr>
        <w:pStyle w:val="3"/>
        <w:tabs>
          <w:tab w:val="right" w:leader="dot" w:pos="9355"/>
          <w:tab w:val="clear" w:pos="9241"/>
        </w:tabs>
      </w:pPr>
      <w:r>
        <w:rPr>
          <w:rFonts w:hint="eastAsia"/>
        </w:rPr>
        <w:fldChar w:fldCharType="begin"/>
      </w:r>
      <w:r>
        <w:rPr>
          <w:rFonts w:hint="eastAsia"/>
        </w:rPr>
        <w:instrText xml:space="preserve"> HYPERLINK \l _Toc7326 </w:instrText>
      </w:r>
      <w:r>
        <w:rPr>
          <w:rFonts w:hint="eastAsia"/>
        </w:rPr>
        <w:fldChar w:fldCharType="separate"/>
      </w:r>
      <w:r>
        <w:rPr>
          <w:rFonts w:hint="eastAsia" w:ascii="黑体" w:hAnsi="Times New Roman" w:eastAsia="黑体" w:cs="Times New Roman"/>
          <w:bCs w:val="0"/>
          <w:i w:val="0"/>
          <w:iCs w:val="0"/>
          <w:caps w:val="0"/>
          <w:strike w:val="0"/>
          <w:dstrike w:val="0"/>
          <w:vanish w:val="0"/>
          <w:spacing w:val="0"/>
          <w:kern w:val="0"/>
          <w:position w:val="0"/>
          <w:szCs w:val="21"/>
          <w:vertAlign w:val="baseline"/>
          <w:lang w:val="en-US" w:eastAsia="zh-CN"/>
        </w:rPr>
        <w:t>11.2</w:t>
      </w:r>
      <w:r>
        <w:rPr>
          <w:rFonts w:hint="eastAsia" w:ascii="黑体" w:eastAsia="黑体" w:cs="Times New Roman"/>
          <w:bCs w:val="0"/>
          <w:i w:val="0"/>
          <w:iCs w:val="0"/>
          <w:caps w:val="0"/>
          <w:strike w:val="0"/>
          <w:dstrike w:val="0"/>
          <w:vanish w:val="0"/>
          <w:spacing w:val="0"/>
          <w:kern w:val="0"/>
          <w:position w:val="0"/>
          <w:szCs w:val="21"/>
          <w:vertAlign w:val="baseline"/>
          <w:lang w:val="en-US" w:eastAsia="zh-CN"/>
        </w:rPr>
        <w:t>　</w:t>
      </w:r>
      <w:r>
        <w:rPr>
          <w:rFonts w:hint="eastAsia"/>
          <w:szCs w:val="22"/>
          <w:lang w:val="en-US" w:eastAsia="zh-CN"/>
        </w:rPr>
        <w:t>范围</w:t>
      </w:r>
      <w:r>
        <w:tab/>
      </w:r>
      <w:r>
        <w:fldChar w:fldCharType="begin"/>
      </w:r>
      <w:r>
        <w:instrText xml:space="preserve"> PAGEREF _Toc7326 \h </w:instrText>
      </w:r>
      <w:r>
        <w:fldChar w:fldCharType="separate"/>
      </w:r>
      <w:r>
        <w:t>6</w:t>
      </w:r>
      <w:r>
        <w:fldChar w:fldCharType="end"/>
      </w:r>
      <w:r>
        <w:rPr>
          <w:rFonts w:hint="eastAsia"/>
        </w:rPr>
        <w:fldChar w:fldCharType="end"/>
      </w:r>
    </w:p>
    <w:p>
      <w:pPr>
        <w:pStyle w:val="3"/>
        <w:tabs>
          <w:tab w:val="right" w:leader="dot" w:pos="9355"/>
          <w:tab w:val="clear" w:pos="9241"/>
        </w:tabs>
      </w:pPr>
      <w:r>
        <w:rPr>
          <w:rFonts w:hint="eastAsia"/>
        </w:rPr>
        <w:fldChar w:fldCharType="begin"/>
      </w:r>
      <w:r>
        <w:rPr>
          <w:rFonts w:hint="eastAsia"/>
        </w:rPr>
        <w:instrText xml:space="preserve"> HYPERLINK \l _Toc24870 </w:instrText>
      </w:r>
      <w:r>
        <w:rPr>
          <w:rFonts w:hint="eastAsia"/>
        </w:rPr>
        <w:fldChar w:fldCharType="separate"/>
      </w:r>
      <w:r>
        <w:rPr>
          <w:rFonts w:hint="eastAsia" w:ascii="黑体" w:hAnsi="Times New Roman" w:eastAsia="黑体" w:cs="Times New Roman"/>
          <w:bCs w:val="0"/>
          <w:i w:val="0"/>
          <w:iCs w:val="0"/>
          <w:caps w:val="0"/>
          <w:strike w:val="0"/>
          <w:dstrike w:val="0"/>
          <w:vanish w:val="0"/>
          <w:spacing w:val="0"/>
          <w:kern w:val="0"/>
          <w:position w:val="0"/>
          <w:szCs w:val="21"/>
          <w:vertAlign w:val="baseline"/>
          <w:lang w:val="en-US" w:eastAsia="zh-CN"/>
        </w:rPr>
        <w:t>11.3</w:t>
      </w:r>
      <w:r>
        <w:rPr>
          <w:rFonts w:hint="eastAsia" w:ascii="黑体" w:eastAsia="黑体" w:cs="Times New Roman"/>
          <w:bCs w:val="0"/>
          <w:i w:val="0"/>
          <w:iCs w:val="0"/>
          <w:caps w:val="0"/>
          <w:strike w:val="0"/>
          <w:dstrike w:val="0"/>
          <w:vanish w:val="0"/>
          <w:spacing w:val="0"/>
          <w:kern w:val="0"/>
          <w:position w:val="0"/>
          <w:szCs w:val="21"/>
          <w:vertAlign w:val="baseline"/>
          <w:lang w:val="en-US" w:eastAsia="zh-CN"/>
        </w:rPr>
        <w:t>　</w:t>
      </w:r>
      <w:r>
        <w:rPr>
          <w:rFonts w:hint="eastAsia"/>
          <w:szCs w:val="22"/>
          <w:lang w:val="en-US" w:eastAsia="zh-CN"/>
        </w:rPr>
        <w:t>要求</w:t>
      </w:r>
      <w:r>
        <w:tab/>
      </w:r>
      <w:r>
        <w:fldChar w:fldCharType="begin"/>
      </w:r>
      <w:r>
        <w:instrText xml:space="preserve"> PAGEREF _Toc24870 \h </w:instrText>
      </w:r>
      <w:r>
        <w:fldChar w:fldCharType="separate"/>
      </w:r>
      <w:r>
        <w:t>7</w:t>
      </w:r>
      <w:r>
        <w:fldChar w:fldCharType="end"/>
      </w:r>
      <w:r>
        <w:rPr>
          <w:rFonts w:hint="eastAsia"/>
        </w:rPr>
        <w:fldChar w:fldCharType="end"/>
      </w:r>
    </w:p>
    <w:p>
      <w:pPr>
        <w:pStyle w:val="7"/>
        <w:tabs>
          <w:tab w:val="right" w:leader="dot" w:pos="9355"/>
          <w:tab w:val="clear" w:pos="9242"/>
        </w:tabs>
      </w:pPr>
      <w:r>
        <w:rPr>
          <w:rFonts w:hint="eastAsia"/>
        </w:rPr>
        <w:fldChar w:fldCharType="begin"/>
      </w:r>
      <w:r>
        <w:rPr>
          <w:rFonts w:hint="eastAsia"/>
        </w:rPr>
        <w:instrText xml:space="preserve"> HYPERLINK \l _Toc24715 </w:instrText>
      </w:r>
      <w:r>
        <w:rPr>
          <w:rFonts w:hint="eastAsia"/>
        </w:rPr>
        <w:fldChar w:fldCharType="separate"/>
      </w:r>
      <w:r>
        <w:rPr>
          <w:rFonts w:hint="eastAsia" w:ascii="黑体" w:hAnsi="Times New Roman" w:eastAsia="黑体"/>
          <w:i w:val="0"/>
          <w:szCs w:val="21"/>
          <w:lang w:val="en-US" w:eastAsia="zh-CN"/>
        </w:rPr>
        <w:t>12</w:t>
      </w:r>
      <w:r>
        <w:rPr>
          <w:rFonts w:hint="eastAsia" w:ascii="黑体" w:eastAsia="黑体"/>
          <w:i w:val="0"/>
          <w:szCs w:val="21"/>
          <w:lang w:val="en-US" w:eastAsia="zh-CN"/>
        </w:rPr>
        <w:t>　</w:t>
      </w:r>
      <w:r>
        <w:rPr>
          <w:rFonts w:hint="eastAsia"/>
          <w:szCs w:val="22"/>
          <w:lang w:val="en-US" w:eastAsia="zh-CN"/>
        </w:rPr>
        <w:t>停车场（库）ETC天线设备运维</w:t>
      </w:r>
      <w:r>
        <w:tab/>
      </w:r>
      <w:r>
        <w:fldChar w:fldCharType="begin"/>
      </w:r>
      <w:r>
        <w:instrText xml:space="preserve"> PAGEREF _Toc24715 \h </w:instrText>
      </w:r>
      <w:r>
        <w:fldChar w:fldCharType="separate"/>
      </w:r>
      <w:r>
        <w:t>7</w:t>
      </w:r>
      <w:r>
        <w:fldChar w:fldCharType="end"/>
      </w:r>
      <w:r>
        <w:rPr>
          <w:rFonts w:hint="eastAsia"/>
        </w:rPr>
        <w:fldChar w:fldCharType="end"/>
      </w:r>
    </w:p>
    <w:p>
      <w:pPr>
        <w:pStyle w:val="3"/>
        <w:tabs>
          <w:tab w:val="right" w:leader="dot" w:pos="9355"/>
          <w:tab w:val="clear" w:pos="9241"/>
        </w:tabs>
      </w:pPr>
      <w:r>
        <w:rPr>
          <w:rFonts w:hint="eastAsia"/>
        </w:rPr>
        <w:fldChar w:fldCharType="begin"/>
      </w:r>
      <w:r>
        <w:rPr>
          <w:rFonts w:hint="eastAsia"/>
        </w:rPr>
        <w:instrText xml:space="preserve"> HYPERLINK \l _Toc32209 </w:instrText>
      </w:r>
      <w:r>
        <w:rPr>
          <w:rFonts w:hint="eastAsia"/>
        </w:rPr>
        <w:fldChar w:fldCharType="separate"/>
      </w:r>
      <w:r>
        <w:rPr>
          <w:rFonts w:hint="eastAsia" w:ascii="黑体" w:hAnsi="Times New Roman" w:eastAsia="黑体" w:cs="Times New Roman"/>
          <w:bCs w:val="0"/>
          <w:i w:val="0"/>
          <w:iCs w:val="0"/>
          <w:caps w:val="0"/>
          <w:strike w:val="0"/>
          <w:dstrike w:val="0"/>
          <w:vanish w:val="0"/>
          <w:spacing w:val="0"/>
          <w:kern w:val="0"/>
          <w:position w:val="0"/>
          <w:szCs w:val="21"/>
          <w:vertAlign w:val="baseline"/>
          <w:lang w:val="en-US" w:eastAsia="zh-CN"/>
        </w:rPr>
        <w:t>12.1</w:t>
      </w:r>
      <w:r>
        <w:rPr>
          <w:rFonts w:hint="eastAsia" w:ascii="黑体" w:eastAsia="黑体" w:cs="Times New Roman"/>
          <w:bCs w:val="0"/>
          <w:i w:val="0"/>
          <w:iCs w:val="0"/>
          <w:caps w:val="0"/>
          <w:strike w:val="0"/>
          <w:dstrike w:val="0"/>
          <w:vanish w:val="0"/>
          <w:spacing w:val="0"/>
          <w:kern w:val="0"/>
          <w:position w:val="0"/>
          <w:szCs w:val="21"/>
          <w:vertAlign w:val="baseline"/>
          <w:lang w:val="en-US" w:eastAsia="zh-CN"/>
        </w:rPr>
        <w:t>　</w:t>
      </w:r>
      <w:r>
        <w:rPr>
          <w:rFonts w:hint="eastAsia"/>
          <w:szCs w:val="22"/>
          <w:lang w:val="en-US" w:eastAsia="zh-CN"/>
        </w:rPr>
        <w:t>目的</w:t>
      </w:r>
      <w:r>
        <w:tab/>
      </w:r>
      <w:r>
        <w:fldChar w:fldCharType="begin"/>
      </w:r>
      <w:r>
        <w:instrText xml:space="preserve"> PAGEREF _Toc32209 \h </w:instrText>
      </w:r>
      <w:r>
        <w:fldChar w:fldCharType="separate"/>
      </w:r>
      <w:r>
        <w:t>7</w:t>
      </w:r>
      <w:r>
        <w:fldChar w:fldCharType="end"/>
      </w:r>
      <w:r>
        <w:rPr>
          <w:rFonts w:hint="eastAsia"/>
        </w:rPr>
        <w:fldChar w:fldCharType="end"/>
      </w:r>
    </w:p>
    <w:p>
      <w:pPr>
        <w:pStyle w:val="3"/>
        <w:tabs>
          <w:tab w:val="right" w:leader="dot" w:pos="9355"/>
          <w:tab w:val="clear" w:pos="9241"/>
        </w:tabs>
      </w:pPr>
      <w:r>
        <w:rPr>
          <w:rFonts w:hint="eastAsia"/>
        </w:rPr>
        <w:fldChar w:fldCharType="begin"/>
      </w:r>
      <w:r>
        <w:rPr>
          <w:rFonts w:hint="eastAsia"/>
        </w:rPr>
        <w:instrText xml:space="preserve"> HYPERLINK \l _Toc3149 </w:instrText>
      </w:r>
      <w:r>
        <w:rPr>
          <w:rFonts w:hint="eastAsia"/>
        </w:rPr>
        <w:fldChar w:fldCharType="separate"/>
      </w:r>
      <w:r>
        <w:rPr>
          <w:rFonts w:hint="eastAsia" w:ascii="黑体" w:hAnsi="Times New Roman" w:eastAsia="黑体" w:cs="Times New Roman"/>
          <w:bCs w:val="0"/>
          <w:i w:val="0"/>
          <w:iCs w:val="0"/>
          <w:caps w:val="0"/>
          <w:strike w:val="0"/>
          <w:dstrike w:val="0"/>
          <w:vanish w:val="0"/>
          <w:spacing w:val="0"/>
          <w:kern w:val="0"/>
          <w:position w:val="0"/>
          <w:szCs w:val="21"/>
          <w:vertAlign w:val="baseline"/>
          <w:lang w:val="en-US" w:eastAsia="zh-CN"/>
        </w:rPr>
        <w:t>12.2</w:t>
      </w:r>
      <w:r>
        <w:rPr>
          <w:rFonts w:hint="eastAsia" w:ascii="黑体" w:eastAsia="黑体" w:cs="Times New Roman"/>
          <w:bCs w:val="0"/>
          <w:i w:val="0"/>
          <w:iCs w:val="0"/>
          <w:caps w:val="0"/>
          <w:strike w:val="0"/>
          <w:dstrike w:val="0"/>
          <w:vanish w:val="0"/>
          <w:spacing w:val="0"/>
          <w:kern w:val="0"/>
          <w:position w:val="0"/>
          <w:szCs w:val="21"/>
          <w:vertAlign w:val="baseline"/>
          <w:lang w:val="en-US" w:eastAsia="zh-CN"/>
        </w:rPr>
        <w:t>　</w:t>
      </w:r>
      <w:r>
        <w:rPr>
          <w:rFonts w:hint="eastAsia"/>
          <w:szCs w:val="22"/>
          <w:lang w:val="en-US" w:eastAsia="zh-CN"/>
        </w:rPr>
        <w:t>范围</w:t>
      </w:r>
      <w:r>
        <w:tab/>
      </w:r>
      <w:r>
        <w:fldChar w:fldCharType="begin"/>
      </w:r>
      <w:r>
        <w:instrText xml:space="preserve"> PAGEREF _Toc3149 \h </w:instrText>
      </w:r>
      <w:r>
        <w:fldChar w:fldCharType="separate"/>
      </w:r>
      <w:r>
        <w:t>7</w:t>
      </w:r>
      <w:r>
        <w:fldChar w:fldCharType="end"/>
      </w:r>
      <w:r>
        <w:rPr>
          <w:rFonts w:hint="eastAsia"/>
        </w:rPr>
        <w:fldChar w:fldCharType="end"/>
      </w:r>
    </w:p>
    <w:p>
      <w:pPr>
        <w:pStyle w:val="3"/>
        <w:tabs>
          <w:tab w:val="right" w:leader="dot" w:pos="9355"/>
          <w:tab w:val="clear" w:pos="9241"/>
        </w:tabs>
      </w:pPr>
      <w:r>
        <w:rPr>
          <w:rFonts w:hint="eastAsia"/>
        </w:rPr>
        <w:fldChar w:fldCharType="begin"/>
      </w:r>
      <w:r>
        <w:rPr>
          <w:rFonts w:hint="eastAsia"/>
        </w:rPr>
        <w:instrText xml:space="preserve"> HYPERLINK \l _Toc17377 </w:instrText>
      </w:r>
      <w:r>
        <w:rPr>
          <w:rFonts w:hint="eastAsia"/>
        </w:rPr>
        <w:fldChar w:fldCharType="separate"/>
      </w:r>
      <w:r>
        <w:rPr>
          <w:rFonts w:hint="eastAsia" w:ascii="黑体" w:hAnsi="Times New Roman" w:eastAsia="黑体" w:cs="Times New Roman"/>
          <w:bCs w:val="0"/>
          <w:i w:val="0"/>
          <w:iCs w:val="0"/>
          <w:caps w:val="0"/>
          <w:strike w:val="0"/>
          <w:dstrike w:val="0"/>
          <w:vanish w:val="0"/>
          <w:spacing w:val="0"/>
          <w:kern w:val="0"/>
          <w:position w:val="0"/>
          <w:szCs w:val="21"/>
          <w:vertAlign w:val="baseline"/>
          <w:lang w:val="en-US" w:eastAsia="zh-CN"/>
        </w:rPr>
        <w:t>12.3</w:t>
      </w:r>
      <w:r>
        <w:rPr>
          <w:rFonts w:hint="eastAsia" w:ascii="黑体" w:eastAsia="黑体" w:cs="Times New Roman"/>
          <w:bCs w:val="0"/>
          <w:i w:val="0"/>
          <w:iCs w:val="0"/>
          <w:caps w:val="0"/>
          <w:strike w:val="0"/>
          <w:dstrike w:val="0"/>
          <w:vanish w:val="0"/>
          <w:spacing w:val="0"/>
          <w:kern w:val="0"/>
          <w:position w:val="0"/>
          <w:szCs w:val="21"/>
          <w:vertAlign w:val="baseline"/>
          <w:lang w:val="en-US" w:eastAsia="zh-CN"/>
        </w:rPr>
        <w:t>　</w:t>
      </w:r>
      <w:r>
        <w:rPr>
          <w:rFonts w:hint="eastAsia"/>
          <w:szCs w:val="22"/>
          <w:lang w:val="en-US" w:eastAsia="zh-CN"/>
        </w:rPr>
        <w:t>要求</w:t>
      </w:r>
      <w:r>
        <w:tab/>
      </w:r>
      <w:r>
        <w:fldChar w:fldCharType="begin"/>
      </w:r>
      <w:r>
        <w:instrText xml:space="preserve"> PAGEREF _Toc17377 \h </w:instrText>
      </w:r>
      <w:r>
        <w:fldChar w:fldCharType="separate"/>
      </w:r>
      <w:r>
        <w:t>8</w:t>
      </w:r>
      <w:r>
        <w:fldChar w:fldCharType="end"/>
      </w:r>
      <w:r>
        <w:rPr>
          <w:rFonts w:hint="eastAsia"/>
        </w:rPr>
        <w:fldChar w:fldCharType="end"/>
      </w:r>
    </w:p>
    <w:p>
      <w:pPr>
        <w:pStyle w:val="7"/>
        <w:tabs>
          <w:tab w:val="right" w:leader="dot" w:pos="9355"/>
          <w:tab w:val="clear" w:pos="9242"/>
        </w:tabs>
      </w:pPr>
      <w:r>
        <w:rPr>
          <w:rFonts w:hint="eastAsia"/>
        </w:rPr>
        <w:fldChar w:fldCharType="begin"/>
      </w:r>
      <w:r>
        <w:rPr>
          <w:rFonts w:hint="eastAsia"/>
        </w:rPr>
        <w:instrText xml:space="preserve"> HYPERLINK \l _Toc29241 </w:instrText>
      </w:r>
      <w:r>
        <w:rPr>
          <w:rFonts w:hint="eastAsia"/>
        </w:rPr>
        <w:fldChar w:fldCharType="separate"/>
      </w:r>
      <w:r>
        <w:rPr>
          <w:rFonts w:hint="eastAsia" w:ascii="黑体" w:hAnsi="Times New Roman" w:eastAsia="黑体"/>
          <w:i w:val="0"/>
          <w:szCs w:val="21"/>
          <w:lang w:val="en-US" w:eastAsia="zh-CN"/>
        </w:rPr>
        <w:t>13</w:t>
      </w:r>
      <w:r>
        <w:rPr>
          <w:rFonts w:hint="eastAsia" w:ascii="黑体" w:eastAsia="黑体"/>
          <w:i w:val="0"/>
          <w:szCs w:val="21"/>
          <w:lang w:val="en-US" w:eastAsia="zh-CN"/>
        </w:rPr>
        <w:t>　</w:t>
      </w:r>
      <w:r>
        <w:rPr>
          <w:rFonts w:hint="eastAsia"/>
          <w:szCs w:val="22"/>
          <w:lang w:val="en-US" w:eastAsia="zh-CN"/>
        </w:rPr>
        <w:t>停车场（库）信息管理系统运维</w:t>
      </w:r>
      <w:r>
        <w:tab/>
      </w:r>
      <w:r>
        <w:fldChar w:fldCharType="begin"/>
      </w:r>
      <w:r>
        <w:instrText xml:space="preserve"> PAGEREF _Toc29241 \h </w:instrText>
      </w:r>
      <w:r>
        <w:fldChar w:fldCharType="separate"/>
      </w:r>
      <w:r>
        <w:t>9</w:t>
      </w:r>
      <w:r>
        <w:fldChar w:fldCharType="end"/>
      </w:r>
      <w:r>
        <w:rPr>
          <w:rFonts w:hint="eastAsia"/>
        </w:rPr>
        <w:fldChar w:fldCharType="end"/>
      </w:r>
    </w:p>
    <w:p>
      <w:pPr>
        <w:pStyle w:val="3"/>
        <w:tabs>
          <w:tab w:val="right" w:leader="dot" w:pos="9355"/>
          <w:tab w:val="clear" w:pos="9241"/>
        </w:tabs>
      </w:pPr>
      <w:r>
        <w:rPr>
          <w:rFonts w:hint="eastAsia"/>
        </w:rPr>
        <w:fldChar w:fldCharType="begin"/>
      </w:r>
      <w:r>
        <w:rPr>
          <w:rFonts w:hint="eastAsia"/>
        </w:rPr>
        <w:instrText xml:space="preserve"> HYPERLINK \l _Toc11625 </w:instrText>
      </w:r>
      <w:r>
        <w:rPr>
          <w:rFonts w:hint="eastAsia"/>
        </w:rPr>
        <w:fldChar w:fldCharType="separate"/>
      </w:r>
      <w:r>
        <w:rPr>
          <w:rFonts w:hint="eastAsia" w:ascii="黑体" w:hAnsi="Times New Roman" w:eastAsia="黑体" w:cs="Times New Roman"/>
          <w:bCs w:val="0"/>
          <w:i w:val="0"/>
          <w:iCs w:val="0"/>
          <w:caps w:val="0"/>
          <w:strike w:val="0"/>
          <w:dstrike w:val="0"/>
          <w:vanish w:val="0"/>
          <w:spacing w:val="0"/>
          <w:kern w:val="0"/>
          <w:position w:val="0"/>
          <w:szCs w:val="21"/>
          <w:vertAlign w:val="baseline"/>
          <w:lang w:val="en-US" w:eastAsia="zh-CN"/>
        </w:rPr>
        <w:t>13.1</w:t>
      </w:r>
      <w:r>
        <w:rPr>
          <w:rFonts w:hint="eastAsia" w:ascii="黑体" w:eastAsia="黑体" w:cs="Times New Roman"/>
          <w:bCs w:val="0"/>
          <w:i w:val="0"/>
          <w:iCs w:val="0"/>
          <w:caps w:val="0"/>
          <w:strike w:val="0"/>
          <w:dstrike w:val="0"/>
          <w:vanish w:val="0"/>
          <w:spacing w:val="0"/>
          <w:kern w:val="0"/>
          <w:position w:val="0"/>
          <w:szCs w:val="21"/>
          <w:vertAlign w:val="baseline"/>
          <w:lang w:val="en-US" w:eastAsia="zh-CN"/>
        </w:rPr>
        <w:t>　</w:t>
      </w:r>
      <w:r>
        <w:rPr>
          <w:rFonts w:hint="eastAsia"/>
          <w:szCs w:val="22"/>
          <w:lang w:val="en-US" w:eastAsia="zh-CN"/>
        </w:rPr>
        <w:t>目的</w:t>
      </w:r>
      <w:r>
        <w:tab/>
      </w:r>
      <w:r>
        <w:fldChar w:fldCharType="begin"/>
      </w:r>
      <w:r>
        <w:instrText xml:space="preserve"> PAGEREF _Toc11625 \h </w:instrText>
      </w:r>
      <w:r>
        <w:fldChar w:fldCharType="separate"/>
      </w:r>
      <w:r>
        <w:t>9</w:t>
      </w:r>
      <w:r>
        <w:fldChar w:fldCharType="end"/>
      </w:r>
      <w:r>
        <w:rPr>
          <w:rFonts w:hint="eastAsia"/>
        </w:rPr>
        <w:fldChar w:fldCharType="end"/>
      </w:r>
    </w:p>
    <w:p>
      <w:pPr>
        <w:pStyle w:val="3"/>
        <w:tabs>
          <w:tab w:val="right" w:leader="dot" w:pos="9355"/>
          <w:tab w:val="clear" w:pos="9241"/>
        </w:tabs>
      </w:pPr>
      <w:r>
        <w:rPr>
          <w:rFonts w:hint="eastAsia"/>
        </w:rPr>
        <w:fldChar w:fldCharType="begin"/>
      </w:r>
      <w:r>
        <w:rPr>
          <w:rFonts w:hint="eastAsia"/>
        </w:rPr>
        <w:instrText xml:space="preserve"> HYPERLINK \l _Toc6368 </w:instrText>
      </w:r>
      <w:r>
        <w:rPr>
          <w:rFonts w:hint="eastAsia"/>
        </w:rPr>
        <w:fldChar w:fldCharType="separate"/>
      </w:r>
      <w:r>
        <w:rPr>
          <w:rFonts w:hint="eastAsia" w:ascii="黑体" w:hAnsi="Times New Roman" w:eastAsia="黑体" w:cs="Times New Roman"/>
          <w:bCs w:val="0"/>
          <w:i w:val="0"/>
          <w:iCs w:val="0"/>
          <w:caps w:val="0"/>
          <w:strike w:val="0"/>
          <w:dstrike w:val="0"/>
          <w:vanish w:val="0"/>
          <w:spacing w:val="0"/>
          <w:kern w:val="0"/>
          <w:position w:val="0"/>
          <w:szCs w:val="21"/>
          <w:vertAlign w:val="baseline"/>
          <w:lang w:val="en-US" w:eastAsia="zh-CN"/>
        </w:rPr>
        <w:t>13.2</w:t>
      </w:r>
      <w:r>
        <w:rPr>
          <w:rFonts w:hint="eastAsia" w:ascii="黑体" w:eastAsia="黑体" w:cs="Times New Roman"/>
          <w:bCs w:val="0"/>
          <w:i w:val="0"/>
          <w:iCs w:val="0"/>
          <w:caps w:val="0"/>
          <w:strike w:val="0"/>
          <w:dstrike w:val="0"/>
          <w:vanish w:val="0"/>
          <w:spacing w:val="0"/>
          <w:kern w:val="0"/>
          <w:position w:val="0"/>
          <w:szCs w:val="21"/>
          <w:vertAlign w:val="baseline"/>
          <w:lang w:val="en-US" w:eastAsia="zh-CN"/>
        </w:rPr>
        <w:t>　</w:t>
      </w:r>
      <w:r>
        <w:rPr>
          <w:rFonts w:hint="eastAsia"/>
          <w:szCs w:val="22"/>
          <w:lang w:val="en-US" w:eastAsia="zh-CN"/>
        </w:rPr>
        <w:t>范围</w:t>
      </w:r>
      <w:r>
        <w:tab/>
      </w:r>
      <w:r>
        <w:fldChar w:fldCharType="begin"/>
      </w:r>
      <w:r>
        <w:instrText xml:space="preserve"> PAGEREF _Toc6368 \h </w:instrText>
      </w:r>
      <w:r>
        <w:fldChar w:fldCharType="separate"/>
      </w:r>
      <w:r>
        <w:t>9</w:t>
      </w:r>
      <w:r>
        <w:fldChar w:fldCharType="end"/>
      </w:r>
      <w:r>
        <w:rPr>
          <w:rFonts w:hint="eastAsia"/>
        </w:rPr>
        <w:fldChar w:fldCharType="end"/>
      </w:r>
    </w:p>
    <w:p>
      <w:pPr>
        <w:pStyle w:val="3"/>
        <w:tabs>
          <w:tab w:val="right" w:leader="dot" w:pos="9355"/>
          <w:tab w:val="clear" w:pos="9241"/>
        </w:tabs>
      </w:pPr>
      <w:r>
        <w:rPr>
          <w:rFonts w:hint="eastAsia"/>
        </w:rPr>
        <w:fldChar w:fldCharType="begin"/>
      </w:r>
      <w:r>
        <w:rPr>
          <w:rFonts w:hint="eastAsia"/>
        </w:rPr>
        <w:instrText xml:space="preserve"> HYPERLINK \l _Toc28757 </w:instrText>
      </w:r>
      <w:r>
        <w:rPr>
          <w:rFonts w:hint="eastAsia"/>
        </w:rPr>
        <w:fldChar w:fldCharType="separate"/>
      </w:r>
      <w:r>
        <w:rPr>
          <w:rFonts w:hint="eastAsia" w:ascii="黑体" w:hAnsi="Times New Roman" w:eastAsia="黑体" w:cs="Times New Roman"/>
          <w:bCs w:val="0"/>
          <w:i w:val="0"/>
          <w:iCs w:val="0"/>
          <w:caps w:val="0"/>
          <w:strike w:val="0"/>
          <w:dstrike w:val="0"/>
          <w:vanish w:val="0"/>
          <w:spacing w:val="0"/>
          <w:kern w:val="0"/>
          <w:position w:val="0"/>
          <w:szCs w:val="21"/>
          <w:vertAlign w:val="baseline"/>
          <w:lang w:val="en-US" w:eastAsia="zh-CN"/>
        </w:rPr>
        <w:t>13.3</w:t>
      </w:r>
      <w:r>
        <w:rPr>
          <w:rFonts w:hint="eastAsia" w:ascii="黑体" w:eastAsia="黑体" w:cs="Times New Roman"/>
          <w:bCs w:val="0"/>
          <w:i w:val="0"/>
          <w:iCs w:val="0"/>
          <w:caps w:val="0"/>
          <w:strike w:val="0"/>
          <w:dstrike w:val="0"/>
          <w:vanish w:val="0"/>
          <w:spacing w:val="0"/>
          <w:kern w:val="0"/>
          <w:position w:val="0"/>
          <w:szCs w:val="21"/>
          <w:vertAlign w:val="baseline"/>
          <w:lang w:val="en-US" w:eastAsia="zh-CN"/>
        </w:rPr>
        <w:t>　</w:t>
      </w:r>
      <w:r>
        <w:rPr>
          <w:rFonts w:hint="eastAsia"/>
          <w:szCs w:val="22"/>
          <w:lang w:val="en-US" w:eastAsia="zh-CN"/>
        </w:rPr>
        <w:t>要求</w:t>
      </w:r>
      <w:r>
        <w:tab/>
      </w:r>
      <w:r>
        <w:fldChar w:fldCharType="begin"/>
      </w:r>
      <w:r>
        <w:instrText xml:space="preserve"> PAGEREF _Toc28757 \h </w:instrText>
      </w:r>
      <w:r>
        <w:fldChar w:fldCharType="separate"/>
      </w:r>
      <w:r>
        <w:t>9</w:t>
      </w:r>
      <w:r>
        <w:fldChar w:fldCharType="end"/>
      </w:r>
      <w:r>
        <w:rPr>
          <w:rFonts w:hint="eastAsia"/>
        </w:rPr>
        <w:fldChar w:fldCharType="end"/>
      </w:r>
    </w:p>
    <w:p>
      <w:pPr>
        <w:pStyle w:val="7"/>
        <w:tabs>
          <w:tab w:val="right" w:leader="dot" w:pos="9355"/>
          <w:tab w:val="clear" w:pos="9242"/>
        </w:tabs>
      </w:pPr>
      <w:r>
        <w:rPr>
          <w:rFonts w:hint="eastAsia"/>
        </w:rPr>
        <w:fldChar w:fldCharType="begin"/>
      </w:r>
      <w:r>
        <w:rPr>
          <w:rFonts w:hint="eastAsia"/>
        </w:rPr>
        <w:instrText xml:space="preserve"> HYPERLINK \l _Toc2456 </w:instrText>
      </w:r>
      <w:r>
        <w:rPr>
          <w:rFonts w:hint="eastAsia"/>
        </w:rPr>
        <w:fldChar w:fldCharType="separate"/>
      </w:r>
      <w:r>
        <w:rPr>
          <w:rFonts w:hint="eastAsia" w:ascii="黑体" w:hAnsi="Times New Roman" w:eastAsia="黑体"/>
          <w:i w:val="0"/>
          <w:szCs w:val="21"/>
          <w:lang w:val="en-US" w:eastAsia="zh-CN"/>
        </w:rPr>
        <w:t>14</w:t>
      </w:r>
      <w:r>
        <w:rPr>
          <w:rFonts w:hint="eastAsia" w:ascii="黑体" w:eastAsia="黑体"/>
          <w:i w:val="0"/>
          <w:szCs w:val="21"/>
          <w:lang w:val="en-US" w:eastAsia="zh-CN"/>
        </w:rPr>
        <w:t>　</w:t>
      </w:r>
      <w:r>
        <w:rPr>
          <w:rFonts w:hint="eastAsia"/>
          <w:szCs w:val="22"/>
          <w:lang w:val="en-US" w:eastAsia="zh-CN"/>
        </w:rPr>
        <w:t>停车场（库）ETC停车业务咨询</w:t>
      </w:r>
      <w:r>
        <w:tab/>
      </w:r>
      <w:r>
        <w:fldChar w:fldCharType="begin"/>
      </w:r>
      <w:r>
        <w:instrText xml:space="preserve"> PAGEREF _Toc2456 \h </w:instrText>
      </w:r>
      <w:r>
        <w:fldChar w:fldCharType="separate"/>
      </w:r>
      <w:r>
        <w:t>10</w:t>
      </w:r>
      <w:r>
        <w:fldChar w:fldCharType="end"/>
      </w:r>
      <w:r>
        <w:rPr>
          <w:rFonts w:hint="eastAsia"/>
        </w:rPr>
        <w:fldChar w:fldCharType="end"/>
      </w:r>
    </w:p>
    <w:p>
      <w:pPr>
        <w:pStyle w:val="3"/>
        <w:tabs>
          <w:tab w:val="right" w:leader="dot" w:pos="9355"/>
          <w:tab w:val="clear" w:pos="9241"/>
        </w:tabs>
      </w:pPr>
      <w:r>
        <w:rPr>
          <w:rFonts w:hint="eastAsia"/>
        </w:rPr>
        <w:fldChar w:fldCharType="begin"/>
      </w:r>
      <w:r>
        <w:rPr>
          <w:rFonts w:hint="eastAsia"/>
        </w:rPr>
        <w:instrText xml:space="preserve"> HYPERLINK \l _Toc22357 </w:instrText>
      </w:r>
      <w:r>
        <w:rPr>
          <w:rFonts w:hint="eastAsia"/>
        </w:rPr>
        <w:fldChar w:fldCharType="separate"/>
      </w:r>
      <w:r>
        <w:rPr>
          <w:rFonts w:hint="eastAsia" w:ascii="黑体" w:hAnsi="Times New Roman" w:eastAsia="黑体" w:cs="Times New Roman"/>
          <w:bCs w:val="0"/>
          <w:i w:val="0"/>
          <w:iCs w:val="0"/>
          <w:caps w:val="0"/>
          <w:strike w:val="0"/>
          <w:dstrike w:val="0"/>
          <w:vanish w:val="0"/>
          <w:spacing w:val="0"/>
          <w:kern w:val="0"/>
          <w:position w:val="0"/>
          <w:szCs w:val="21"/>
          <w:vertAlign w:val="baseline"/>
          <w:lang w:val="en-US" w:eastAsia="zh-CN"/>
        </w:rPr>
        <w:t>14.1</w:t>
      </w:r>
      <w:r>
        <w:rPr>
          <w:rFonts w:hint="eastAsia" w:ascii="黑体" w:eastAsia="黑体" w:cs="Times New Roman"/>
          <w:bCs w:val="0"/>
          <w:i w:val="0"/>
          <w:iCs w:val="0"/>
          <w:caps w:val="0"/>
          <w:strike w:val="0"/>
          <w:dstrike w:val="0"/>
          <w:vanish w:val="0"/>
          <w:spacing w:val="0"/>
          <w:kern w:val="0"/>
          <w:position w:val="0"/>
          <w:szCs w:val="21"/>
          <w:vertAlign w:val="baseline"/>
          <w:lang w:val="en-US" w:eastAsia="zh-CN"/>
        </w:rPr>
        <w:t>　</w:t>
      </w:r>
      <w:r>
        <w:rPr>
          <w:rFonts w:hint="eastAsia"/>
          <w:szCs w:val="22"/>
          <w:lang w:val="en-US" w:eastAsia="zh-CN"/>
        </w:rPr>
        <w:t>目的</w:t>
      </w:r>
      <w:r>
        <w:tab/>
      </w:r>
      <w:r>
        <w:fldChar w:fldCharType="begin"/>
      </w:r>
      <w:r>
        <w:instrText xml:space="preserve"> PAGEREF _Toc22357 \h </w:instrText>
      </w:r>
      <w:r>
        <w:fldChar w:fldCharType="separate"/>
      </w:r>
      <w:r>
        <w:t>10</w:t>
      </w:r>
      <w:r>
        <w:fldChar w:fldCharType="end"/>
      </w:r>
      <w:r>
        <w:rPr>
          <w:rFonts w:hint="eastAsia"/>
        </w:rPr>
        <w:fldChar w:fldCharType="end"/>
      </w:r>
    </w:p>
    <w:p>
      <w:pPr>
        <w:pStyle w:val="3"/>
        <w:tabs>
          <w:tab w:val="right" w:leader="dot" w:pos="9355"/>
          <w:tab w:val="clear" w:pos="9241"/>
        </w:tabs>
      </w:pPr>
      <w:r>
        <w:rPr>
          <w:rFonts w:hint="eastAsia"/>
        </w:rPr>
        <w:fldChar w:fldCharType="begin"/>
      </w:r>
      <w:r>
        <w:rPr>
          <w:rFonts w:hint="eastAsia"/>
        </w:rPr>
        <w:instrText xml:space="preserve"> HYPERLINK \l _Toc30780 </w:instrText>
      </w:r>
      <w:r>
        <w:rPr>
          <w:rFonts w:hint="eastAsia"/>
        </w:rPr>
        <w:fldChar w:fldCharType="separate"/>
      </w:r>
      <w:r>
        <w:rPr>
          <w:rFonts w:hint="eastAsia" w:ascii="黑体" w:hAnsi="Times New Roman" w:eastAsia="黑体" w:cs="Times New Roman"/>
          <w:bCs w:val="0"/>
          <w:i w:val="0"/>
          <w:iCs w:val="0"/>
          <w:caps w:val="0"/>
          <w:strike w:val="0"/>
          <w:dstrike w:val="0"/>
          <w:vanish w:val="0"/>
          <w:spacing w:val="0"/>
          <w:kern w:val="0"/>
          <w:position w:val="0"/>
          <w:szCs w:val="21"/>
          <w:vertAlign w:val="baseline"/>
          <w:lang w:val="en-US" w:eastAsia="zh-CN"/>
        </w:rPr>
        <w:t>14.2</w:t>
      </w:r>
      <w:r>
        <w:rPr>
          <w:rFonts w:hint="eastAsia" w:ascii="黑体" w:eastAsia="黑体" w:cs="Times New Roman"/>
          <w:bCs w:val="0"/>
          <w:i w:val="0"/>
          <w:iCs w:val="0"/>
          <w:caps w:val="0"/>
          <w:strike w:val="0"/>
          <w:dstrike w:val="0"/>
          <w:vanish w:val="0"/>
          <w:spacing w:val="0"/>
          <w:kern w:val="0"/>
          <w:position w:val="0"/>
          <w:szCs w:val="21"/>
          <w:vertAlign w:val="baseline"/>
          <w:lang w:val="en-US" w:eastAsia="zh-CN"/>
        </w:rPr>
        <w:t>　</w:t>
      </w:r>
      <w:r>
        <w:rPr>
          <w:rFonts w:hint="eastAsia"/>
          <w:szCs w:val="22"/>
          <w:lang w:val="en-US" w:eastAsia="zh-CN"/>
        </w:rPr>
        <w:t>范围</w:t>
      </w:r>
      <w:r>
        <w:tab/>
      </w:r>
      <w:r>
        <w:fldChar w:fldCharType="begin"/>
      </w:r>
      <w:r>
        <w:instrText xml:space="preserve"> PAGEREF _Toc30780 \h </w:instrText>
      </w:r>
      <w:r>
        <w:fldChar w:fldCharType="separate"/>
      </w:r>
      <w:r>
        <w:t>10</w:t>
      </w:r>
      <w:r>
        <w:fldChar w:fldCharType="end"/>
      </w:r>
      <w:r>
        <w:rPr>
          <w:rFonts w:hint="eastAsia"/>
        </w:rPr>
        <w:fldChar w:fldCharType="end"/>
      </w:r>
    </w:p>
    <w:p>
      <w:pPr>
        <w:pStyle w:val="3"/>
        <w:tabs>
          <w:tab w:val="right" w:leader="dot" w:pos="9355"/>
          <w:tab w:val="clear" w:pos="9241"/>
        </w:tabs>
      </w:pPr>
      <w:r>
        <w:rPr>
          <w:rFonts w:hint="eastAsia"/>
        </w:rPr>
        <w:fldChar w:fldCharType="begin"/>
      </w:r>
      <w:r>
        <w:rPr>
          <w:rFonts w:hint="eastAsia"/>
        </w:rPr>
        <w:instrText xml:space="preserve"> HYPERLINK \l _Toc13085 </w:instrText>
      </w:r>
      <w:r>
        <w:rPr>
          <w:rFonts w:hint="eastAsia"/>
        </w:rPr>
        <w:fldChar w:fldCharType="separate"/>
      </w:r>
      <w:r>
        <w:rPr>
          <w:rFonts w:hint="eastAsia" w:ascii="黑体" w:hAnsi="Times New Roman" w:eastAsia="黑体" w:cs="Times New Roman"/>
          <w:bCs w:val="0"/>
          <w:i w:val="0"/>
          <w:iCs w:val="0"/>
          <w:caps w:val="0"/>
          <w:strike w:val="0"/>
          <w:dstrike w:val="0"/>
          <w:vanish w:val="0"/>
          <w:spacing w:val="0"/>
          <w:kern w:val="0"/>
          <w:position w:val="0"/>
          <w:szCs w:val="21"/>
          <w:vertAlign w:val="baseline"/>
          <w:lang w:val="en-US" w:eastAsia="zh-CN"/>
        </w:rPr>
        <w:t>14.3</w:t>
      </w:r>
      <w:r>
        <w:rPr>
          <w:rFonts w:hint="eastAsia" w:ascii="黑体" w:eastAsia="黑体" w:cs="Times New Roman"/>
          <w:bCs w:val="0"/>
          <w:i w:val="0"/>
          <w:iCs w:val="0"/>
          <w:caps w:val="0"/>
          <w:strike w:val="0"/>
          <w:dstrike w:val="0"/>
          <w:vanish w:val="0"/>
          <w:spacing w:val="0"/>
          <w:kern w:val="0"/>
          <w:position w:val="0"/>
          <w:szCs w:val="21"/>
          <w:vertAlign w:val="baseline"/>
          <w:lang w:val="en-US" w:eastAsia="zh-CN"/>
        </w:rPr>
        <w:t>　</w:t>
      </w:r>
      <w:r>
        <w:rPr>
          <w:rFonts w:hint="eastAsia"/>
          <w:szCs w:val="22"/>
          <w:lang w:val="en-US" w:eastAsia="zh-CN"/>
        </w:rPr>
        <w:t>要求</w:t>
      </w:r>
      <w:r>
        <w:tab/>
      </w:r>
      <w:r>
        <w:fldChar w:fldCharType="begin"/>
      </w:r>
      <w:r>
        <w:instrText xml:space="preserve"> PAGEREF _Toc13085 \h </w:instrText>
      </w:r>
      <w:r>
        <w:fldChar w:fldCharType="separate"/>
      </w:r>
      <w:r>
        <w:t>10</w:t>
      </w:r>
      <w:r>
        <w:fldChar w:fldCharType="end"/>
      </w:r>
      <w:r>
        <w:rPr>
          <w:rFonts w:hint="eastAsia"/>
        </w:rPr>
        <w:fldChar w:fldCharType="end"/>
      </w:r>
    </w:p>
    <w:p>
      <w:pPr>
        <w:pStyle w:val="7"/>
        <w:tabs>
          <w:tab w:val="right" w:leader="dot" w:pos="9355"/>
          <w:tab w:val="clear" w:pos="9242"/>
        </w:tabs>
      </w:pPr>
      <w:r>
        <w:rPr>
          <w:rFonts w:hint="eastAsia"/>
        </w:rPr>
        <w:fldChar w:fldCharType="begin"/>
      </w:r>
      <w:r>
        <w:rPr>
          <w:rFonts w:hint="eastAsia"/>
        </w:rPr>
        <w:instrText xml:space="preserve"> HYPERLINK \l _Toc13803 </w:instrText>
      </w:r>
      <w:r>
        <w:rPr>
          <w:rFonts w:hint="eastAsia"/>
        </w:rPr>
        <w:fldChar w:fldCharType="separate"/>
      </w:r>
      <w:r>
        <w:rPr>
          <w:rFonts w:hint="eastAsia" w:ascii="黑体" w:hAnsi="Times New Roman" w:eastAsia="黑体"/>
          <w:i w:val="0"/>
          <w:szCs w:val="21"/>
          <w:lang w:val="en-US" w:eastAsia="zh-CN"/>
        </w:rPr>
        <w:t>15</w:t>
      </w:r>
      <w:r>
        <w:rPr>
          <w:rFonts w:hint="eastAsia" w:ascii="黑体" w:eastAsia="黑体"/>
          <w:i w:val="0"/>
          <w:szCs w:val="21"/>
          <w:lang w:val="en-US" w:eastAsia="zh-CN"/>
        </w:rPr>
        <w:t>　</w:t>
      </w:r>
      <w:r>
        <w:rPr>
          <w:rFonts w:hint="eastAsia"/>
          <w:szCs w:val="22"/>
          <w:lang w:val="en-US" w:eastAsia="zh-CN"/>
        </w:rPr>
        <w:t>停车场（库）ETC停车业务投诉</w:t>
      </w:r>
      <w:r>
        <w:tab/>
      </w:r>
      <w:r>
        <w:fldChar w:fldCharType="begin"/>
      </w:r>
      <w:r>
        <w:instrText xml:space="preserve"> PAGEREF _Toc13803 \h </w:instrText>
      </w:r>
      <w:r>
        <w:fldChar w:fldCharType="separate"/>
      </w:r>
      <w:r>
        <w:t>11</w:t>
      </w:r>
      <w:r>
        <w:fldChar w:fldCharType="end"/>
      </w:r>
      <w:r>
        <w:rPr>
          <w:rFonts w:hint="eastAsia"/>
        </w:rPr>
        <w:fldChar w:fldCharType="end"/>
      </w:r>
    </w:p>
    <w:p>
      <w:pPr>
        <w:pStyle w:val="3"/>
        <w:tabs>
          <w:tab w:val="right" w:leader="dot" w:pos="9355"/>
          <w:tab w:val="clear" w:pos="9241"/>
        </w:tabs>
      </w:pPr>
      <w:r>
        <w:rPr>
          <w:rFonts w:hint="eastAsia"/>
        </w:rPr>
        <w:fldChar w:fldCharType="begin"/>
      </w:r>
      <w:r>
        <w:rPr>
          <w:rFonts w:hint="eastAsia"/>
        </w:rPr>
        <w:instrText xml:space="preserve"> HYPERLINK \l _Toc11935 </w:instrText>
      </w:r>
      <w:r>
        <w:rPr>
          <w:rFonts w:hint="eastAsia"/>
        </w:rPr>
        <w:fldChar w:fldCharType="separate"/>
      </w:r>
      <w:r>
        <w:rPr>
          <w:rFonts w:hint="eastAsia" w:ascii="黑体" w:hAnsi="Times New Roman" w:eastAsia="黑体" w:cs="Times New Roman"/>
          <w:bCs w:val="0"/>
          <w:i w:val="0"/>
          <w:iCs w:val="0"/>
          <w:caps w:val="0"/>
          <w:strike w:val="0"/>
          <w:dstrike w:val="0"/>
          <w:vanish w:val="0"/>
          <w:spacing w:val="0"/>
          <w:kern w:val="0"/>
          <w:position w:val="0"/>
          <w:szCs w:val="21"/>
          <w:vertAlign w:val="baseline"/>
          <w:lang w:val="en-US" w:eastAsia="zh-CN"/>
        </w:rPr>
        <w:t>15.1</w:t>
      </w:r>
      <w:r>
        <w:rPr>
          <w:rFonts w:hint="eastAsia" w:ascii="黑体" w:eastAsia="黑体" w:cs="Times New Roman"/>
          <w:bCs w:val="0"/>
          <w:i w:val="0"/>
          <w:iCs w:val="0"/>
          <w:caps w:val="0"/>
          <w:strike w:val="0"/>
          <w:dstrike w:val="0"/>
          <w:vanish w:val="0"/>
          <w:spacing w:val="0"/>
          <w:kern w:val="0"/>
          <w:position w:val="0"/>
          <w:szCs w:val="21"/>
          <w:vertAlign w:val="baseline"/>
          <w:lang w:val="en-US" w:eastAsia="zh-CN"/>
        </w:rPr>
        <w:t>　</w:t>
      </w:r>
      <w:r>
        <w:rPr>
          <w:rFonts w:hint="eastAsia"/>
          <w:szCs w:val="22"/>
          <w:lang w:val="en-US" w:eastAsia="zh-CN"/>
        </w:rPr>
        <w:t>目的</w:t>
      </w:r>
      <w:r>
        <w:tab/>
      </w:r>
      <w:r>
        <w:fldChar w:fldCharType="begin"/>
      </w:r>
      <w:r>
        <w:instrText xml:space="preserve"> PAGEREF _Toc11935 \h </w:instrText>
      </w:r>
      <w:r>
        <w:fldChar w:fldCharType="separate"/>
      </w:r>
      <w:r>
        <w:t>11</w:t>
      </w:r>
      <w:r>
        <w:fldChar w:fldCharType="end"/>
      </w:r>
      <w:r>
        <w:rPr>
          <w:rFonts w:hint="eastAsia"/>
        </w:rPr>
        <w:fldChar w:fldCharType="end"/>
      </w:r>
    </w:p>
    <w:p>
      <w:pPr>
        <w:pStyle w:val="3"/>
        <w:tabs>
          <w:tab w:val="right" w:leader="dot" w:pos="9355"/>
          <w:tab w:val="clear" w:pos="9241"/>
        </w:tabs>
      </w:pPr>
      <w:r>
        <w:rPr>
          <w:rFonts w:hint="eastAsia"/>
        </w:rPr>
        <w:fldChar w:fldCharType="begin"/>
      </w:r>
      <w:r>
        <w:rPr>
          <w:rFonts w:hint="eastAsia"/>
        </w:rPr>
        <w:instrText xml:space="preserve"> HYPERLINK \l _Toc11988 </w:instrText>
      </w:r>
      <w:r>
        <w:rPr>
          <w:rFonts w:hint="eastAsia"/>
        </w:rPr>
        <w:fldChar w:fldCharType="separate"/>
      </w:r>
      <w:r>
        <w:rPr>
          <w:rFonts w:hint="eastAsia" w:ascii="黑体" w:hAnsi="Times New Roman" w:eastAsia="黑体" w:cs="Times New Roman"/>
          <w:bCs w:val="0"/>
          <w:i w:val="0"/>
          <w:iCs w:val="0"/>
          <w:caps w:val="0"/>
          <w:strike w:val="0"/>
          <w:dstrike w:val="0"/>
          <w:vanish w:val="0"/>
          <w:spacing w:val="0"/>
          <w:kern w:val="0"/>
          <w:position w:val="0"/>
          <w:szCs w:val="21"/>
          <w:vertAlign w:val="baseline"/>
          <w:lang w:val="en-US" w:eastAsia="zh-CN"/>
        </w:rPr>
        <w:t>15.2</w:t>
      </w:r>
      <w:r>
        <w:rPr>
          <w:rFonts w:hint="eastAsia" w:ascii="黑体" w:eastAsia="黑体" w:cs="Times New Roman"/>
          <w:bCs w:val="0"/>
          <w:i w:val="0"/>
          <w:iCs w:val="0"/>
          <w:caps w:val="0"/>
          <w:strike w:val="0"/>
          <w:dstrike w:val="0"/>
          <w:vanish w:val="0"/>
          <w:spacing w:val="0"/>
          <w:kern w:val="0"/>
          <w:position w:val="0"/>
          <w:szCs w:val="21"/>
          <w:vertAlign w:val="baseline"/>
          <w:lang w:val="en-US" w:eastAsia="zh-CN"/>
        </w:rPr>
        <w:t>　</w:t>
      </w:r>
      <w:r>
        <w:rPr>
          <w:rFonts w:hint="eastAsia"/>
          <w:szCs w:val="22"/>
          <w:lang w:val="en-US" w:eastAsia="zh-CN"/>
        </w:rPr>
        <w:t>范围</w:t>
      </w:r>
      <w:r>
        <w:tab/>
      </w:r>
      <w:r>
        <w:fldChar w:fldCharType="begin"/>
      </w:r>
      <w:r>
        <w:instrText xml:space="preserve"> PAGEREF _Toc11988 \h </w:instrText>
      </w:r>
      <w:r>
        <w:fldChar w:fldCharType="separate"/>
      </w:r>
      <w:r>
        <w:t>11</w:t>
      </w:r>
      <w:r>
        <w:fldChar w:fldCharType="end"/>
      </w:r>
      <w:r>
        <w:rPr>
          <w:rFonts w:hint="eastAsia"/>
        </w:rPr>
        <w:fldChar w:fldCharType="end"/>
      </w:r>
    </w:p>
    <w:p>
      <w:pPr>
        <w:pStyle w:val="3"/>
        <w:tabs>
          <w:tab w:val="right" w:leader="dot" w:pos="9355"/>
          <w:tab w:val="clear" w:pos="9241"/>
        </w:tabs>
      </w:pPr>
      <w:r>
        <w:rPr>
          <w:rFonts w:hint="eastAsia"/>
        </w:rPr>
        <w:fldChar w:fldCharType="begin"/>
      </w:r>
      <w:r>
        <w:rPr>
          <w:rFonts w:hint="eastAsia"/>
        </w:rPr>
        <w:instrText xml:space="preserve"> HYPERLINK \l _Toc26163 </w:instrText>
      </w:r>
      <w:r>
        <w:rPr>
          <w:rFonts w:hint="eastAsia"/>
        </w:rPr>
        <w:fldChar w:fldCharType="separate"/>
      </w:r>
      <w:r>
        <w:rPr>
          <w:rFonts w:hint="eastAsia" w:ascii="黑体" w:hAnsi="Times New Roman" w:eastAsia="黑体" w:cs="Times New Roman"/>
          <w:bCs w:val="0"/>
          <w:i w:val="0"/>
          <w:iCs w:val="0"/>
          <w:caps w:val="0"/>
          <w:strike w:val="0"/>
          <w:dstrike w:val="0"/>
          <w:vanish w:val="0"/>
          <w:spacing w:val="0"/>
          <w:kern w:val="0"/>
          <w:position w:val="0"/>
          <w:szCs w:val="21"/>
          <w:vertAlign w:val="baseline"/>
          <w:lang w:val="en-US" w:eastAsia="zh-CN"/>
        </w:rPr>
        <w:t>15.3</w:t>
      </w:r>
      <w:r>
        <w:rPr>
          <w:rFonts w:hint="eastAsia" w:ascii="黑体" w:eastAsia="黑体" w:cs="Times New Roman"/>
          <w:bCs w:val="0"/>
          <w:i w:val="0"/>
          <w:iCs w:val="0"/>
          <w:caps w:val="0"/>
          <w:strike w:val="0"/>
          <w:dstrike w:val="0"/>
          <w:vanish w:val="0"/>
          <w:spacing w:val="0"/>
          <w:kern w:val="0"/>
          <w:position w:val="0"/>
          <w:szCs w:val="21"/>
          <w:vertAlign w:val="baseline"/>
          <w:lang w:val="en-US" w:eastAsia="zh-CN"/>
        </w:rPr>
        <w:t>　</w:t>
      </w:r>
      <w:r>
        <w:rPr>
          <w:rFonts w:hint="eastAsia"/>
          <w:szCs w:val="22"/>
          <w:lang w:val="en-US" w:eastAsia="zh-CN"/>
        </w:rPr>
        <w:t>要求</w:t>
      </w:r>
      <w:r>
        <w:tab/>
      </w:r>
      <w:r>
        <w:fldChar w:fldCharType="begin"/>
      </w:r>
      <w:r>
        <w:instrText xml:space="preserve"> PAGEREF _Toc26163 \h </w:instrText>
      </w:r>
      <w:r>
        <w:fldChar w:fldCharType="separate"/>
      </w:r>
      <w:r>
        <w:t>11</w:t>
      </w:r>
      <w:r>
        <w:fldChar w:fldCharType="end"/>
      </w:r>
      <w:r>
        <w:rPr>
          <w:rFonts w:hint="eastAsia"/>
        </w:rPr>
        <w:fldChar w:fldCharType="end"/>
      </w:r>
    </w:p>
    <w:p>
      <w:pPr>
        <w:pStyle w:val="3"/>
        <w:tabs>
          <w:tab w:val="right" w:leader="dot" w:pos="9355"/>
          <w:tab w:val="clear" w:pos="9241"/>
        </w:tabs>
      </w:pPr>
      <w:r>
        <w:rPr>
          <w:rFonts w:hint="eastAsia"/>
        </w:rPr>
        <w:fldChar w:fldCharType="begin"/>
      </w:r>
      <w:r>
        <w:rPr>
          <w:rFonts w:hint="eastAsia"/>
        </w:rPr>
        <w:instrText xml:space="preserve"> HYPERLINK \l _Toc29520 </w:instrText>
      </w:r>
      <w:r>
        <w:rPr>
          <w:rFonts w:hint="eastAsia"/>
        </w:rPr>
        <w:fldChar w:fldCharType="separate"/>
      </w:r>
      <w:r>
        <w:rPr>
          <w:rFonts w:hint="eastAsia" w:ascii="黑体" w:hAnsi="Times New Roman" w:eastAsia="黑体" w:cs="Times New Roman"/>
          <w:bCs w:val="0"/>
          <w:i w:val="0"/>
          <w:iCs w:val="0"/>
          <w:caps w:val="0"/>
          <w:strike w:val="0"/>
          <w:dstrike w:val="0"/>
          <w:vanish w:val="0"/>
          <w:spacing w:val="0"/>
          <w:kern w:val="0"/>
          <w:position w:val="0"/>
          <w:szCs w:val="21"/>
          <w:vertAlign w:val="baseline"/>
          <w:lang w:val="en-US" w:eastAsia="zh-CN"/>
        </w:rPr>
        <w:t>15.4</w:t>
      </w:r>
      <w:r>
        <w:rPr>
          <w:rFonts w:hint="eastAsia" w:ascii="黑体" w:eastAsia="黑体" w:cs="Times New Roman"/>
          <w:bCs w:val="0"/>
          <w:i w:val="0"/>
          <w:iCs w:val="0"/>
          <w:caps w:val="0"/>
          <w:strike w:val="0"/>
          <w:dstrike w:val="0"/>
          <w:vanish w:val="0"/>
          <w:spacing w:val="0"/>
          <w:kern w:val="0"/>
          <w:position w:val="0"/>
          <w:szCs w:val="21"/>
          <w:vertAlign w:val="baseline"/>
          <w:lang w:val="en-US" w:eastAsia="zh-CN"/>
        </w:rPr>
        <w:t>　</w:t>
      </w:r>
      <w:r>
        <w:rPr>
          <w:rFonts w:hint="eastAsia"/>
          <w:szCs w:val="24"/>
          <w:lang w:val="en-US" w:eastAsia="zh-CN"/>
        </w:rPr>
        <w:t>流程</w:t>
      </w:r>
      <w:r>
        <w:tab/>
      </w:r>
      <w:r>
        <w:fldChar w:fldCharType="begin"/>
      </w:r>
      <w:r>
        <w:instrText xml:space="preserve"> PAGEREF _Toc29520 \h </w:instrText>
      </w:r>
      <w:r>
        <w:fldChar w:fldCharType="separate"/>
      </w:r>
      <w:r>
        <w:t>12</w:t>
      </w:r>
      <w:r>
        <w:fldChar w:fldCharType="end"/>
      </w:r>
      <w:r>
        <w:rPr>
          <w:rFonts w:hint="eastAsia"/>
        </w:rPr>
        <w:fldChar w:fldCharType="end"/>
      </w:r>
    </w:p>
    <w:p>
      <w:pPr>
        <w:pStyle w:val="3"/>
        <w:tabs>
          <w:tab w:val="right" w:leader="dot" w:pos="9355"/>
          <w:tab w:val="clear" w:pos="9241"/>
        </w:tabs>
        <w:ind w:left="0" w:leftChars="0" w:firstLine="0" w:firstLineChars="0"/>
      </w:pPr>
      <w:r>
        <w:rPr>
          <w:rFonts w:hint="eastAsia"/>
        </w:rPr>
        <w:fldChar w:fldCharType="begin"/>
      </w:r>
      <w:r>
        <w:rPr>
          <w:rFonts w:hint="eastAsia"/>
        </w:rPr>
        <w:instrText xml:space="preserve"> HYPERLINK \l _Toc24765 </w:instrText>
      </w:r>
      <w:r>
        <w:rPr>
          <w:rFonts w:hint="eastAsia"/>
        </w:rPr>
        <w:fldChar w:fldCharType="separate"/>
      </w:r>
      <w:r>
        <w:rPr>
          <w:rFonts w:hint="eastAsia"/>
          <w:szCs w:val="24"/>
          <w:lang w:val="en-US" w:eastAsia="zh-CN"/>
        </w:rPr>
        <w:t>附录A(资料性)　辽宁高速ETC智慧停车场运维月度评估表</w:t>
      </w:r>
      <w:r>
        <w:tab/>
      </w:r>
      <w:r>
        <w:fldChar w:fldCharType="begin"/>
      </w:r>
      <w:r>
        <w:instrText xml:space="preserve"> PAGEREF _Toc24765 \h </w:instrText>
      </w:r>
      <w:r>
        <w:fldChar w:fldCharType="separate"/>
      </w:r>
      <w:r>
        <w:t>14</w:t>
      </w:r>
      <w:r>
        <w:fldChar w:fldCharType="end"/>
      </w:r>
      <w:r>
        <w:rPr>
          <w:rFonts w:hint="eastAsia"/>
        </w:rPr>
        <w:fldChar w:fldCharType="end"/>
      </w:r>
    </w:p>
    <w:p>
      <w:pPr>
        <w:pStyle w:val="3"/>
        <w:tabs>
          <w:tab w:val="right" w:leader="dot" w:pos="9355"/>
          <w:tab w:val="clear" w:pos="9241"/>
        </w:tabs>
        <w:ind w:left="0" w:leftChars="0" w:firstLine="0" w:firstLineChars="0"/>
        <w:rPr>
          <w:rFonts w:hint="eastAsia"/>
        </w:rPr>
      </w:pPr>
      <w:r>
        <w:rPr>
          <w:rFonts w:hint="eastAsia"/>
        </w:rPr>
        <w:fldChar w:fldCharType="begin"/>
      </w:r>
      <w:r>
        <w:rPr>
          <w:rFonts w:hint="eastAsia"/>
        </w:rPr>
        <w:instrText xml:space="preserve"> HYPERLINK \l _Toc3800 </w:instrText>
      </w:r>
      <w:r>
        <w:rPr>
          <w:rFonts w:hint="eastAsia"/>
        </w:rPr>
        <w:fldChar w:fldCharType="separate"/>
      </w:r>
      <w:r>
        <w:rPr>
          <w:rFonts w:hint="eastAsia"/>
          <w:szCs w:val="24"/>
          <w:lang w:val="en-US" w:eastAsia="zh-CN"/>
        </w:rPr>
        <w:t>附录B(资料性)　</w:t>
      </w:r>
      <w:r>
        <w:rPr>
          <w:rFonts w:hint="eastAsia" w:cs="Times New Roman"/>
          <w:kern w:val="0"/>
          <w:szCs w:val="22"/>
          <w:lang w:val="en-US" w:eastAsia="zh-CN" w:bidi="ar-SA"/>
        </w:rPr>
        <w:t>ETC车道收费系统常见问题处理</w:t>
      </w:r>
      <w:r>
        <w:tab/>
      </w:r>
      <w:r>
        <w:fldChar w:fldCharType="begin"/>
      </w:r>
      <w:r>
        <w:instrText xml:space="preserve"> PAGEREF _Toc3800 \h </w:instrText>
      </w:r>
      <w:r>
        <w:fldChar w:fldCharType="separate"/>
      </w:r>
      <w:r>
        <w:t>15</w:t>
      </w:r>
      <w:r>
        <w:fldChar w:fldCharType="end"/>
      </w:r>
      <w:r>
        <w:rPr>
          <w:rFonts w:hint="eastAsia"/>
        </w:rPr>
        <w:fldChar w:fldCharType="end"/>
      </w:r>
      <w:r>
        <w:rPr>
          <w:rFonts w:hint="eastAsia"/>
        </w:rPr>
        <w:fldChar w:fldCharType="end"/>
      </w:r>
    </w:p>
    <w:p>
      <w:pPr>
        <w:pStyle w:val="29"/>
        <w:rPr>
          <w:rFonts w:hint="eastAsia"/>
        </w:rPr>
        <w:sectPr>
          <w:headerReference r:id="rId5" w:type="default"/>
          <w:footerReference r:id="rId7" w:type="default"/>
          <w:headerReference r:id="rId6" w:type="even"/>
          <w:footerReference r:id="rId8" w:type="even"/>
          <w:pgSz w:w="11906" w:h="16838"/>
          <w:pgMar w:top="1417" w:right="1134" w:bottom="1134" w:left="1417" w:header="1418" w:footer="1134" w:gutter="0"/>
          <w:pgNumType w:fmt="upperRoman" w:start="1"/>
          <w:cols w:space="0" w:num="1"/>
          <w:formProt w:val="0"/>
          <w:docGrid w:type="lines" w:linePitch="312" w:charSpace="0"/>
        </w:sectPr>
      </w:pPr>
    </w:p>
    <w:p>
      <w:pPr>
        <w:pStyle w:val="29"/>
        <w:spacing w:line="360" w:lineRule="auto"/>
      </w:pPr>
      <w:bookmarkStart w:id="2" w:name="_Toc1316"/>
      <w:bookmarkStart w:id="3" w:name="_Toc24066"/>
      <w:bookmarkStart w:id="4" w:name="_Toc18819"/>
      <w:bookmarkStart w:id="5" w:name="_Toc5843"/>
      <w:r>
        <w:rPr>
          <w:rFonts w:hint="eastAsia"/>
        </w:rPr>
        <w:t>前</w:t>
      </w:r>
      <w:bookmarkStart w:id="6" w:name="BKQY"/>
      <w:r>
        <w:t>  </w:t>
      </w:r>
      <w:r>
        <w:rPr>
          <w:rFonts w:hint="eastAsia"/>
        </w:rPr>
        <w:t>言</w:t>
      </w:r>
      <w:bookmarkEnd w:id="2"/>
      <w:bookmarkEnd w:id="3"/>
      <w:bookmarkEnd w:id="4"/>
      <w:bookmarkEnd w:id="5"/>
      <w:bookmarkEnd w:id="6"/>
    </w:p>
    <w:p>
      <w:pPr>
        <w:pStyle w:val="28"/>
        <w:spacing w:line="360" w:lineRule="auto"/>
        <w:rPr>
          <w:rFonts w:hAnsi="宋体"/>
        </w:rPr>
      </w:pPr>
      <w:r>
        <w:rPr>
          <w:rFonts w:hint="eastAsia" w:hAnsi="宋体"/>
        </w:rPr>
        <w:t>本文件按照GB/T 1.1-2020《标准化工作导则</w:t>
      </w:r>
      <w:r>
        <w:rPr>
          <w:rFonts w:hint="eastAsia" w:hAnsi="宋体"/>
          <w:lang w:eastAsia="zh-CN"/>
        </w:rPr>
        <w:t>　</w:t>
      </w:r>
      <w:r>
        <w:rPr>
          <w:rFonts w:hint="eastAsia" w:hAnsi="宋体"/>
        </w:rPr>
        <w:t>第1部分：标准化文件的结构和起草规则》的规</w:t>
      </w:r>
      <w:r>
        <w:rPr>
          <w:rFonts w:hint="default" w:hAnsi="宋体"/>
          <w:lang w:val="en-US"/>
        </w:rPr>
        <w:t>定</w:t>
      </w:r>
      <w:r>
        <w:rPr>
          <w:rFonts w:hint="eastAsia" w:hAnsi="宋体"/>
        </w:rPr>
        <w:t>起草。</w:t>
      </w:r>
    </w:p>
    <w:p>
      <w:pPr>
        <w:pStyle w:val="28"/>
        <w:spacing w:line="360" w:lineRule="auto"/>
        <w:rPr>
          <w:rFonts w:hAnsi="宋体"/>
        </w:rPr>
      </w:pPr>
      <w:r>
        <w:rPr>
          <w:rFonts w:hint="eastAsia" w:hAnsi="宋体"/>
        </w:rPr>
        <w:t>本文件</w:t>
      </w:r>
      <w:r>
        <w:rPr>
          <w:rFonts w:hAnsi="宋体"/>
        </w:rPr>
        <w:t>由</w:t>
      </w:r>
      <w:r>
        <w:rPr>
          <w:rFonts w:hint="eastAsia" w:hAnsi="宋体"/>
          <w:lang w:val="en-US" w:eastAsia="zh-CN"/>
        </w:rPr>
        <w:t>辽宁省工业和信息化厅</w:t>
      </w:r>
      <w:r>
        <w:rPr>
          <w:rFonts w:hAnsi="宋体"/>
        </w:rPr>
        <w:t>提出。</w:t>
      </w:r>
    </w:p>
    <w:p>
      <w:pPr>
        <w:pStyle w:val="28"/>
        <w:spacing w:line="360" w:lineRule="auto"/>
        <w:rPr>
          <w:rFonts w:hAnsi="宋体"/>
        </w:rPr>
      </w:pPr>
      <w:r>
        <w:rPr>
          <w:rFonts w:hint="eastAsia" w:hAnsi="宋体"/>
        </w:rPr>
        <w:t>本文件</w:t>
      </w:r>
      <w:r>
        <w:rPr>
          <w:rFonts w:hAnsi="宋体"/>
        </w:rPr>
        <w:t>由</w:t>
      </w:r>
      <w:r>
        <w:rPr>
          <w:rFonts w:hint="eastAsia" w:hAnsi="宋体"/>
          <w:lang w:val="en-US" w:eastAsia="zh-CN"/>
        </w:rPr>
        <w:t>辽宁省工业和信息化厅归口</w:t>
      </w:r>
      <w:r>
        <w:rPr>
          <w:rFonts w:hAnsi="宋体"/>
        </w:rPr>
        <w:t>。</w:t>
      </w:r>
    </w:p>
    <w:p>
      <w:pPr>
        <w:pStyle w:val="28"/>
        <w:spacing w:line="360" w:lineRule="auto"/>
        <w:rPr>
          <w:rFonts w:hAnsi="宋体"/>
        </w:rPr>
      </w:pPr>
      <w:r>
        <w:rPr>
          <w:rFonts w:hint="eastAsia" w:hAnsi="宋体"/>
        </w:rPr>
        <w:t>本文件起草单位：辽宁高速通智慧出行有限责任公司、沈阳东软交通信息技术有限公司。</w:t>
      </w:r>
    </w:p>
    <w:p>
      <w:pPr>
        <w:pStyle w:val="28"/>
        <w:spacing w:line="360" w:lineRule="auto"/>
      </w:pPr>
      <w:r>
        <w:rPr>
          <w:rFonts w:hint="eastAsia" w:hAnsi="宋体"/>
        </w:rPr>
        <w:t>本文件主要起草人：何沛韬、展恩宁、陈昱靦、朱瑞新、葛大明、王梦麟、王阳</w:t>
      </w:r>
      <w:r>
        <w:rPr>
          <w:rFonts w:hint="eastAsia" w:hAnsi="宋体"/>
          <w:lang w:eastAsia="zh-CN"/>
        </w:rPr>
        <w:t>、肇毓</w:t>
      </w:r>
      <w:bookmarkStart w:id="114" w:name="_GoBack"/>
      <w:bookmarkEnd w:id="114"/>
      <w:r>
        <w:rPr>
          <w:rFonts w:hint="eastAsia"/>
        </w:rPr>
        <w:t>。</w:t>
      </w:r>
    </w:p>
    <w:p>
      <w:pPr>
        <w:pStyle w:val="28"/>
        <w:spacing w:line="360" w:lineRule="auto"/>
        <w:rPr>
          <w:rFonts w:hint="eastAsia"/>
        </w:rPr>
      </w:pPr>
      <w:r>
        <w:rPr>
          <w:rFonts w:hint="eastAsia"/>
        </w:rPr>
        <w:t>本文件发布实施后，任何单位和个人如有问题和意见建议，均可以通过来电和来函等方式进行反馈，我们将及时答复并认真处理，根据实际情况依法进行评估及复审。</w:t>
      </w:r>
    </w:p>
    <w:p>
      <w:pPr>
        <w:pStyle w:val="28"/>
        <w:spacing w:line="360" w:lineRule="auto"/>
        <w:rPr>
          <w:rFonts w:hint="eastAsia"/>
          <w:szCs w:val="22"/>
        </w:rPr>
      </w:pPr>
      <w:r>
        <w:rPr>
          <w:rFonts w:hint="eastAsia"/>
        </w:rPr>
        <w:t>本文件起草单位通讯地址和联系电话：</w:t>
      </w:r>
      <w:r>
        <w:rPr>
          <w:rFonts w:hint="eastAsia"/>
          <w:szCs w:val="22"/>
        </w:rPr>
        <w:t>辽宁省沈阳市浑南区胜利南街677-1，+861</w:t>
      </w:r>
      <w:r>
        <w:rPr>
          <w:rFonts w:hint="eastAsia"/>
          <w:szCs w:val="22"/>
          <w:lang w:val="en-US" w:eastAsia="zh-CN"/>
        </w:rPr>
        <w:t>3700026853</w:t>
      </w:r>
      <w:r>
        <w:rPr>
          <w:rFonts w:hint="eastAsia"/>
          <w:szCs w:val="22"/>
        </w:rPr>
        <w:t>。</w:t>
      </w:r>
    </w:p>
    <w:p>
      <w:pPr>
        <w:pStyle w:val="28"/>
        <w:spacing w:line="360" w:lineRule="auto"/>
        <w:rPr>
          <w:szCs w:val="22"/>
        </w:rPr>
        <w:sectPr>
          <w:footerReference r:id="rId9" w:type="default"/>
          <w:footerReference r:id="rId10" w:type="even"/>
          <w:pgSz w:w="11906" w:h="16838"/>
          <w:pgMar w:top="1417" w:right="1134" w:bottom="1134" w:left="1417" w:header="1418" w:footer="1134" w:gutter="0"/>
          <w:pgNumType w:fmt="upperRoman"/>
          <w:cols w:space="720" w:num="1"/>
          <w:formProt w:val="0"/>
          <w:docGrid w:type="lines" w:linePitch="312" w:charSpace="0"/>
        </w:sectPr>
      </w:pPr>
      <w:r>
        <w:rPr>
          <w:rFonts w:hint="eastAsia"/>
          <w:szCs w:val="22"/>
        </w:rPr>
        <w:t xml:space="preserve"> </w:t>
      </w:r>
    </w:p>
    <w:bookmarkEnd w:id="0"/>
    <w:p>
      <w:pPr>
        <w:spacing w:line="360" w:lineRule="auto"/>
        <w:jc w:val="center"/>
        <w:rPr>
          <w:rFonts w:hint="eastAsia" w:ascii="黑体" w:hAnsi="黑体" w:eastAsia="黑体" w:cs="黑体"/>
          <w:sz w:val="32"/>
          <w:szCs w:val="32"/>
          <w:lang w:eastAsia="zh-CN"/>
        </w:rPr>
      </w:pPr>
      <w:r>
        <w:rPr>
          <w:rFonts w:hint="eastAsia" w:ascii="黑体" w:hAnsi="黑体" w:eastAsia="黑体" w:cs="黑体"/>
          <w:sz w:val="32"/>
          <w:szCs w:val="32"/>
          <w:lang w:eastAsia="zh-CN"/>
        </w:rPr>
        <w:t>ETC</w:t>
      </w:r>
      <w:r>
        <w:rPr>
          <w:rFonts w:hint="eastAsia" w:ascii="黑体" w:hAnsi="黑体" w:eastAsia="黑体" w:cs="黑体"/>
          <w:sz w:val="32"/>
          <w:szCs w:val="32"/>
          <w:lang w:val="en-US" w:eastAsia="zh-CN"/>
        </w:rPr>
        <w:t>智慧</w:t>
      </w:r>
      <w:r>
        <w:rPr>
          <w:rFonts w:hint="eastAsia" w:ascii="黑体" w:hAnsi="黑体" w:eastAsia="黑体" w:cs="黑体"/>
          <w:sz w:val="32"/>
          <w:szCs w:val="32"/>
          <w:lang w:eastAsia="zh-CN"/>
        </w:rPr>
        <w:t>停车场</w:t>
      </w:r>
      <w:r>
        <w:rPr>
          <w:rFonts w:hint="eastAsia" w:ascii="黑体" w:hAnsi="黑体" w:eastAsia="黑体" w:cs="黑体"/>
          <w:sz w:val="32"/>
          <w:szCs w:val="32"/>
          <w:lang w:val="en-US" w:eastAsia="zh-CN"/>
        </w:rPr>
        <w:t xml:space="preserve"> </w:t>
      </w:r>
      <w:r>
        <w:rPr>
          <w:rFonts w:hint="eastAsia" w:ascii="黑体" w:hAnsi="黑体" w:eastAsia="黑体" w:cs="黑体"/>
          <w:sz w:val="32"/>
          <w:szCs w:val="32"/>
          <w:lang w:eastAsia="zh-CN"/>
        </w:rPr>
        <w:t>运维要求</w:t>
      </w:r>
    </w:p>
    <w:p>
      <w:pPr>
        <w:pStyle w:val="30"/>
        <w:bidi w:val="0"/>
        <w:ind w:left="0" w:leftChars="0" w:firstLine="0" w:firstLineChars="0"/>
        <w:rPr>
          <w:rFonts w:hint="eastAsia"/>
        </w:rPr>
      </w:pPr>
      <w:bookmarkStart w:id="7" w:name="_Toc15340"/>
      <w:bookmarkStart w:id="8" w:name="_Toc13382"/>
      <w:bookmarkStart w:id="9" w:name="_Toc21437"/>
      <w:bookmarkStart w:id="10" w:name="_Toc4322"/>
      <w:r>
        <w:rPr>
          <w:rFonts w:hint="eastAsia"/>
        </w:rPr>
        <w:t>范围</w:t>
      </w:r>
      <w:bookmarkEnd w:id="7"/>
      <w:bookmarkEnd w:id="8"/>
      <w:bookmarkEnd w:id="9"/>
      <w:bookmarkEnd w:id="10"/>
    </w:p>
    <w:p>
      <w:pPr>
        <w:pStyle w:val="28"/>
        <w:spacing w:line="360" w:lineRule="auto"/>
        <w:rPr>
          <w:rFonts w:hint="eastAsia"/>
          <w:szCs w:val="21"/>
        </w:rPr>
      </w:pPr>
      <w:r>
        <w:rPr>
          <w:rFonts w:hint="eastAsia"/>
          <w:szCs w:val="21"/>
        </w:rPr>
        <w:t>本</w:t>
      </w:r>
      <w:r>
        <w:rPr>
          <w:rFonts w:hint="eastAsia"/>
          <w:szCs w:val="21"/>
          <w:lang w:val="en-US" w:eastAsia="zh-CN"/>
        </w:rPr>
        <w:t>文件</w:t>
      </w:r>
      <w:r>
        <w:rPr>
          <w:rFonts w:hint="eastAsia"/>
          <w:szCs w:val="21"/>
        </w:rPr>
        <w:t>规定了对停车场（库）在ETC VI标识、ETC天线设备、</w:t>
      </w:r>
      <w:r>
        <w:rPr>
          <w:rFonts w:hint="eastAsia"/>
          <w:szCs w:val="21"/>
          <w:lang w:eastAsia="zh-CN"/>
        </w:rPr>
        <w:t>停车场（库）信息管理系统及</w:t>
      </w:r>
      <w:r>
        <w:rPr>
          <w:rFonts w:hint="eastAsia"/>
          <w:szCs w:val="21"/>
        </w:rPr>
        <w:t>客户对停车场（库）的ETC停车服务相关咨询与投诉的运维服务要求。</w:t>
      </w:r>
    </w:p>
    <w:p>
      <w:pPr>
        <w:pStyle w:val="28"/>
        <w:spacing w:line="360" w:lineRule="auto"/>
        <w:rPr>
          <w:rFonts w:hint="default" w:eastAsia="宋体"/>
          <w:szCs w:val="21"/>
          <w:lang w:val="en-US" w:eastAsia="zh-CN"/>
        </w:rPr>
      </w:pPr>
      <w:r>
        <w:rPr>
          <w:rFonts w:hint="eastAsia"/>
          <w:szCs w:val="21"/>
          <w:lang w:val="en-US" w:eastAsia="zh-CN"/>
        </w:rPr>
        <w:t>本文件适用于辽宁高速ETC智慧停车场的运行维护。</w:t>
      </w:r>
    </w:p>
    <w:p>
      <w:pPr>
        <w:pStyle w:val="30"/>
        <w:bidi w:val="0"/>
        <w:ind w:left="0" w:leftChars="0" w:firstLine="0" w:firstLineChars="0"/>
        <w:rPr>
          <w:rFonts w:hint="eastAsia"/>
        </w:rPr>
      </w:pPr>
      <w:bookmarkStart w:id="11" w:name="_Toc24834"/>
      <w:bookmarkStart w:id="12" w:name="_Toc13501"/>
      <w:bookmarkStart w:id="13" w:name="_Toc28726"/>
      <w:bookmarkStart w:id="14" w:name="_Toc969"/>
      <w:r>
        <w:rPr>
          <w:rFonts w:hint="eastAsia"/>
        </w:rPr>
        <w:t>规范性引用文件</w:t>
      </w:r>
      <w:bookmarkEnd w:id="11"/>
      <w:bookmarkEnd w:id="12"/>
      <w:bookmarkEnd w:id="13"/>
      <w:bookmarkEnd w:id="14"/>
    </w:p>
    <w:p>
      <w:pPr>
        <w:spacing w:line="360" w:lineRule="auto"/>
        <w:ind w:firstLine="420" w:firstLineChars="200"/>
        <w:rPr>
          <w:rFonts w:hint="eastAsia"/>
        </w:rPr>
      </w:pPr>
      <w:r>
        <w:rPr>
          <w:rFonts w:hint="eastAsia" w:hAnsi="宋体"/>
        </w:rPr>
        <w:t>下列文件中的内容通过文中的规范性引用而构成本文件必不可少的条款。其中，注日期的文件，仅该日期对应的版本适用于本文件；不注日期的引用文件，其最新版本（包括所有的修改单）适用于本文件。</w:t>
      </w:r>
    </w:p>
    <w:p>
      <w:pPr>
        <w:pStyle w:val="28"/>
        <w:spacing w:line="360" w:lineRule="auto"/>
        <w:rPr>
          <w:rFonts w:hint="default" w:hAnsi="宋体"/>
          <w:lang w:val="en-US"/>
        </w:rPr>
      </w:pPr>
      <w:r>
        <w:rPr>
          <w:rFonts w:hint="eastAsia"/>
          <w:szCs w:val="22"/>
          <w:lang w:val="en-US" w:eastAsia="zh-CN"/>
        </w:rPr>
        <w:t>GB 16179　安全标志使用导则</w:t>
      </w:r>
    </w:p>
    <w:p>
      <w:pPr>
        <w:pStyle w:val="30"/>
        <w:bidi w:val="0"/>
        <w:ind w:left="0" w:leftChars="0" w:firstLine="0" w:firstLineChars="0"/>
        <w:rPr>
          <w:rFonts w:hint="eastAsia"/>
        </w:rPr>
      </w:pPr>
      <w:bookmarkStart w:id="15" w:name="_Toc3365"/>
      <w:bookmarkStart w:id="16" w:name="_Toc5294"/>
      <w:bookmarkStart w:id="17" w:name="_Toc24065"/>
      <w:bookmarkStart w:id="18" w:name="_Toc420509244"/>
      <w:bookmarkStart w:id="19" w:name="_Toc420509188"/>
      <w:bookmarkStart w:id="20" w:name="_Toc12695"/>
      <w:r>
        <w:rPr>
          <w:rFonts w:hint="eastAsia"/>
        </w:rPr>
        <w:t>术语和定义</w:t>
      </w:r>
      <w:bookmarkEnd w:id="15"/>
      <w:bookmarkEnd w:id="16"/>
      <w:bookmarkEnd w:id="17"/>
      <w:bookmarkEnd w:id="18"/>
      <w:bookmarkEnd w:id="19"/>
      <w:bookmarkEnd w:id="20"/>
    </w:p>
    <w:p>
      <w:pPr>
        <w:pStyle w:val="28"/>
        <w:spacing w:line="360" w:lineRule="auto"/>
        <w:rPr>
          <w:rFonts w:hint="eastAsia" w:hAnsi="宋体"/>
        </w:rPr>
      </w:pPr>
      <w:r>
        <w:rPr>
          <w:rFonts w:hAnsi="宋体"/>
        </w:rPr>
        <w:t>下列术语和定义适用于本</w:t>
      </w:r>
      <w:r>
        <w:rPr>
          <w:rFonts w:hint="eastAsia" w:hAnsi="宋体"/>
        </w:rPr>
        <w:t>文件。</w:t>
      </w:r>
    </w:p>
    <w:p>
      <w:pPr>
        <w:pStyle w:val="31"/>
        <w:bidi w:val="0"/>
        <w:ind w:left="0" w:leftChars="0" w:firstLine="0" w:firstLineChars="0"/>
      </w:pPr>
      <w:bookmarkStart w:id="21" w:name="_Toc25126"/>
      <w:bookmarkEnd w:id="21"/>
      <w:bookmarkStart w:id="22" w:name="_Toc26412"/>
      <w:bookmarkEnd w:id="22"/>
      <w:bookmarkStart w:id="23" w:name="_Toc26940"/>
      <w:bookmarkEnd w:id="23"/>
      <w:bookmarkStart w:id="24" w:name="_Toc19424"/>
      <w:bookmarkEnd w:id="24"/>
      <w:bookmarkStart w:id="25" w:name="_Toc23597"/>
      <w:bookmarkEnd w:id="25"/>
      <w:bookmarkStart w:id="26" w:name="_Toc5425"/>
      <w:bookmarkEnd w:id="26"/>
    </w:p>
    <w:p>
      <w:pPr>
        <w:pStyle w:val="28"/>
        <w:spacing w:line="360" w:lineRule="auto"/>
        <w:rPr>
          <w:rFonts w:hint="eastAsia" w:ascii="黑体" w:eastAsia="黑体"/>
          <w:szCs w:val="21"/>
        </w:rPr>
      </w:pPr>
      <w:bookmarkStart w:id="27" w:name="OLE_LINK1"/>
      <w:r>
        <w:rPr>
          <w:rFonts w:hint="eastAsia" w:ascii="黑体" w:eastAsia="黑体"/>
          <w:szCs w:val="21"/>
        </w:rPr>
        <w:t>车辆图像</w:t>
      </w:r>
      <w:bookmarkEnd w:id="27"/>
      <w:r>
        <w:rPr>
          <w:rFonts w:hint="eastAsia" w:ascii="黑体" w:eastAsia="黑体"/>
          <w:szCs w:val="21"/>
          <w:lang w:val="en-US" w:eastAsia="zh-CN"/>
        </w:rPr>
        <w:t>　v</w:t>
      </w:r>
      <w:r>
        <w:rPr>
          <w:rFonts w:hint="eastAsia" w:ascii="黑体" w:eastAsia="黑体"/>
          <w:szCs w:val="21"/>
        </w:rPr>
        <w:t>ehicle image information</w:t>
      </w:r>
    </w:p>
    <w:p>
      <w:pPr>
        <w:pStyle w:val="28"/>
        <w:spacing w:line="360" w:lineRule="auto"/>
        <w:rPr>
          <w:rFonts w:hint="eastAsia"/>
        </w:rPr>
      </w:pPr>
      <w:r>
        <w:rPr>
          <w:rFonts w:hint="eastAsia"/>
        </w:rPr>
        <w:t>在停车场（库）出入口处采集到的车辆特征图像，包括车辆号牌、车辆颜色、车辆类型</w:t>
      </w:r>
      <w:r>
        <w:rPr>
          <w:rFonts w:hint="eastAsia"/>
          <w:lang w:val="en-US" w:eastAsia="zh-CN"/>
        </w:rPr>
        <w:t>及</w:t>
      </w:r>
      <w:r>
        <w:rPr>
          <w:rFonts w:hint="eastAsia"/>
        </w:rPr>
        <w:t>进出场时间等。</w:t>
      </w:r>
    </w:p>
    <w:p>
      <w:pPr>
        <w:pStyle w:val="31"/>
        <w:bidi w:val="0"/>
        <w:ind w:left="0" w:leftChars="0" w:firstLine="0" w:firstLineChars="0"/>
      </w:pPr>
      <w:bookmarkStart w:id="28" w:name="_Toc19047"/>
      <w:bookmarkEnd w:id="28"/>
      <w:bookmarkStart w:id="29" w:name="_Toc25583"/>
      <w:bookmarkEnd w:id="29"/>
      <w:bookmarkStart w:id="30" w:name="_Toc28602"/>
      <w:bookmarkEnd w:id="30"/>
    </w:p>
    <w:p>
      <w:pPr>
        <w:pStyle w:val="28"/>
        <w:spacing w:line="360" w:lineRule="auto"/>
        <w:rPr>
          <w:rFonts w:hint="eastAsia" w:ascii="黑体" w:eastAsia="黑体"/>
          <w:szCs w:val="21"/>
        </w:rPr>
      </w:pPr>
      <w:r>
        <w:rPr>
          <w:rFonts w:hint="eastAsia" w:ascii="黑体" w:eastAsia="黑体"/>
          <w:szCs w:val="21"/>
        </w:rPr>
        <w:t>车辆通行记录</w:t>
      </w:r>
      <w:r>
        <w:rPr>
          <w:rFonts w:hint="eastAsia" w:ascii="黑体" w:eastAsia="黑体"/>
          <w:szCs w:val="21"/>
          <w:lang w:eastAsia="zh-CN"/>
        </w:rPr>
        <w:t>　</w:t>
      </w:r>
      <w:r>
        <w:rPr>
          <w:rFonts w:hint="eastAsia" w:ascii="黑体" w:eastAsia="黑体"/>
          <w:szCs w:val="21"/>
          <w:lang w:val="en-US" w:eastAsia="zh-CN"/>
        </w:rPr>
        <w:t>v</w:t>
      </w:r>
      <w:r>
        <w:rPr>
          <w:rFonts w:hint="eastAsia" w:ascii="黑体" w:eastAsia="黑体"/>
          <w:szCs w:val="21"/>
        </w:rPr>
        <w:t>ehicle access records</w:t>
      </w:r>
    </w:p>
    <w:p>
      <w:pPr>
        <w:pStyle w:val="28"/>
        <w:spacing w:line="360" w:lineRule="auto"/>
        <w:rPr>
          <w:rFonts w:hint="eastAsia"/>
        </w:rPr>
      </w:pPr>
      <w:r>
        <w:rPr>
          <w:rFonts w:hint="eastAsia"/>
        </w:rPr>
        <w:t>出入管理系统，对进出停车场（库）车辆通行信息的感知与记录，包括车牌号码、车辆图像、进出时间、进出地点、缴费方式、缴费费用</w:t>
      </w:r>
      <w:r>
        <w:rPr>
          <w:rFonts w:hint="eastAsia"/>
          <w:lang w:val="en-US" w:eastAsia="zh-CN"/>
        </w:rPr>
        <w:t>及</w:t>
      </w:r>
      <w:r>
        <w:rPr>
          <w:rFonts w:hint="eastAsia"/>
        </w:rPr>
        <w:t>操作员信息等。</w:t>
      </w:r>
    </w:p>
    <w:p>
      <w:pPr>
        <w:pStyle w:val="31"/>
        <w:bidi w:val="0"/>
        <w:ind w:left="0" w:leftChars="0" w:firstLine="0" w:firstLineChars="0"/>
      </w:pPr>
      <w:bookmarkStart w:id="31" w:name="_Toc10969"/>
      <w:bookmarkEnd w:id="31"/>
      <w:bookmarkStart w:id="32" w:name="_Toc23572"/>
      <w:bookmarkEnd w:id="32"/>
      <w:bookmarkStart w:id="33" w:name="_Toc13597"/>
      <w:bookmarkEnd w:id="33"/>
    </w:p>
    <w:p>
      <w:pPr>
        <w:pStyle w:val="28"/>
        <w:spacing w:line="360" w:lineRule="auto"/>
        <w:rPr>
          <w:rFonts w:hint="eastAsia" w:ascii="黑体" w:eastAsia="黑体"/>
          <w:szCs w:val="21"/>
          <w:lang w:eastAsia="zh-CN"/>
        </w:rPr>
      </w:pPr>
      <w:r>
        <w:rPr>
          <w:rFonts w:hint="eastAsia" w:ascii="黑体" w:eastAsia="黑体"/>
          <w:szCs w:val="21"/>
        </w:rPr>
        <w:t>ETC天线</w:t>
      </w:r>
      <w:r>
        <w:rPr>
          <w:rFonts w:hint="eastAsia" w:ascii="黑体" w:eastAsia="黑体"/>
          <w:szCs w:val="21"/>
          <w:lang w:val="en-US" w:eastAsia="zh-CN"/>
        </w:rPr>
        <w:t>　ETC</w:t>
      </w:r>
      <w:r>
        <w:rPr>
          <w:rFonts w:hint="eastAsia" w:ascii="黑体" w:eastAsia="黑体"/>
          <w:szCs w:val="21"/>
        </w:rPr>
        <w:t xml:space="preserve"> antenna</w:t>
      </w:r>
    </w:p>
    <w:p>
      <w:pPr>
        <w:pStyle w:val="28"/>
        <w:spacing w:line="360" w:lineRule="auto"/>
        <w:rPr>
          <w:rFonts w:hint="eastAsia"/>
        </w:rPr>
      </w:pPr>
      <w:r>
        <w:rPr>
          <w:rFonts w:hint="eastAsia"/>
        </w:rPr>
        <w:t xml:space="preserve">负责与车辆上的OBU交易，并将OBU交易后的信息传达到PC机。 </w:t>
      </w:r>
    </w:p>
    <w:p>
      <w:pPr>
        <w:pStyle w:val="31"/>
        <w:bidi w:val="0"/>
        <w:ind w:left="0" w:leftChars="0" w:firstLine="0" w:firstLineChars="0"/>
      </w:pPr>
      <w:bookmarkStart w:id="34" w:name="_Toc17228"/>
      <w:bookmarkEnd w:id="34"/>
      <w:bookmarkStart w:id="35" w:name="_Toc23851"/>
      <w:bookmarkEnd w:id="35"/>
      <w:bookmarkStart w:id="36" w:name="_Toc22113"/>
      <w:bookmarkEnd w:id="36"/>
      <w:bookmarkStart w:id="37" w:name="_Toc20398"/>
      <w:bookmarkEnd w:id="37"/>
      <w:bookmarkStart w:id="38" w:name="_Toc19727"/>
      <w:bookmarkEnd w:id="38"/>
      <w:bookmarkStart w:id="39" w:name="_Toc8202"/>
      <w:bookmarkEnd w:id="39"/>
    </w:p>
    <w:p>
      <w:pPr>
        <w:pStyle w:val="28"/>
        <w:spacing w:line="360" w:lineRule="auto"/>
        <w:rPr>
          <w:rFonts w:ascii="黑体" w:eastAsia="黑体"/>
          <w:szCs w:val="21"/>
        </w:rPr>
      </w:pPr>
      <w:r>
        <w:rPr>
          <w:rFonts w:hint="eastAsia" w:ascii="黑体" w:eastAsia="黑体"/>
          <w:szCs w:val="21"/>
        </w:rPr>
        <w:t>停车场</w:t>
      </w:r>
      <w:r>
        <w:rPr>
          <w:rFonts w:hint="eastAsia" w:ascii="黑体" w:eastAsia="黑体"/>
          <w:szCs w:val="21"/>
          <w:lang w:val="en-US" w:eastAsia="zh-CN"/>
        </w:rPr>
        <w:t>　</w:t>
      </w:r>
      <w:r>
        <w:rPr>
          <w:rFonts w:hint="eastAsia" w:ascii="黑体" w:eastAsia="黑体"/>
          <w:szCs w:val="21"/>
        </w:rPr>
        <w:t>parking</w:t>
      </w:r>
    </w:p>
    <w:p>
      <w:pPr>
        <w:pStyle w:val="28"/>
        <w:spacing w:line="360" w:lineRule="auto"/>
        <w:rPr>
          <w:rFonts w:hint="eastAsia"/>
          <w:szCs w:val="22"/>
        </w:rPr>
      </w:pPr>
      <w:r>
        <w:rPr>
          <w:rFonts w:hint="eastAsia"/>
          <w:szCs w:val="22"/>
        </w:rPr>
        <w:t>停放和存储机动车车辆的露天场地或构筑物。</w:t>
      </w:r>
    </w:p>
    <w:p>
      <w:pPr>
        <w:pStyle w:val="31"/>
        <w:bidi w:val="0"/>
        <w:ind w:left="0" w:leftChars="0" w:firstLine="0" w:firstLineChars="0"/>
      </w:pPr>
      <w:bookmarkStart w:id="40" w:name="_Toc26352"/>
      <w:bookmarkEnd w:id="40"/>
      <w:bookmarkStart w:id="41" w:name="_Toc16839"/>
      <w:bookmarkEnd w:id="41"/>
      <w:bookmarkStart w:id="42" w:name="_Toc3487"/>
      <w:bookmarkEnd w:id="42"/>
    </w:p>
    <w:p>
      <w:pPr>
        <w:pStyle w:val="28"/>
        <w:spacing w:line="360" w:lineRule="auto"/>
        <w:rPr>
          <w:rFonts w:hint="eastAsia" w:ascii="黑体" w:eastAsia="黑体"/>
          <w:szCs w:val="21"/>
        </w:rPr>
      </w:pPr>
      <w:r>
        <w:rPr>
          <w:rFonts w:hint="eastAsia" w:ascii="黑体" w:eastAsia="黑体"/>
          <w:szCs w:val="21"/>
        </w:rPr>
        <w:t>停车场（库）ETC VI</w:t>
      </w:r>
      <w:r>
        <w:rPr>
          <w:rFonts w:hint="eastAsia" w:ascii="黑体" w:eastAsia="黑体"/>
          <w:szCs w:val="21"/>
          <w:lang w:eastAsia="zh-CN"/>
        </w:rPr>
        <w:t>　</w:t>
      </w:r>
      <w:r>
        <w:rPr>
          <w:rFonts w:hint="eastAsia" w:ascii="黑体" w:eastAsia="黑体"/>
          <w:szCs w:val="21"/>
          <w:lang w:val="en-US" w:eastAsia="zh-CN"/>
        </w:rPr>
        <w:t>p</w:t>
      </w:r>
      <w:r>
        <w:rPr>
          <w:rFonts w:hint="eastAsia" w:ascii="黑体" w:eastAsia="黑体"/>
          <w:szCs w:val="21"/>
        </w:rPr>
        <w:t>arking lot（garage）</w:t>
      </w:r>
      <w:r>
        <w:rPr>
          <w:rFonts w:hint="eastAsia" w:ascii="黑体" w:eastAsia="黑体"/>
          <w:szCs w:val="21"/>
          <w:lang w:val="en-US" w:eastAsia="zh-CN"/>
        </w:rPr>
        <w:t>e</w:t>
      </w:r>
      <w:r>
        <w:rPr>
          <w:rFonts w:hint="eastAsia" w:ascii="黑体" w:eastAsia="黑体"/>
          <w:szCs w:val="21"/>
        </w:rPr>
        <w:t xml:space="preserve">lectronic </w:t>
      </w:r>
      <w:r>
        <w:rPr>
          <w:rFonts w:hint="eastAsia" w:ascii="黑体" w:eastAsia="黑体"/>
          <w:szCs w:val="21"/>
          <w:lang w:val="en-US" w:eastAsia="zh-CN"/>
        </w:rPr>
        <w:t>t</w:t>
      </w:r>
      <w:r>
        <w:rPr>
          <w:rFonts w:hint="eastAsia" w:ascii="黑体" w:eastAsia="黑体"/>
          <w:szCs w:val="21"/>
        </w:rPr>
        <w:t xml:space="preserve">oll </w:t>
      </w:r>
      <w:r>
        <w:rPr>
          <w:rFonts w:hint="eastAsia" w:ascii="黑体" w:eastAsia="黑体"/>
          <w:szCs w:val="21"/>
          <w:lang w:val="en-US" w:eastAsia="zh-CN"/>
        </w:rPr>
        <w:t>c</w:t>
      </w:r>
      <w:r>
        <w:rPr>
          <w:rFonts w:hint="eastAsia" w:ascii="黑体" w:eastAsia="黑体"/>
          <w:szCs w:val="21"/>
        </w:rPr>
        <w:t xml:space="preserve">ollection </w:t>
      </w:r>
      <w:r>
        <w:rPr>
          <w:rFonts w:hint="eastAsia" w:ascii="黑体" w:eastAsia="黑体"/>
          <w:szCs w:val="21"/>
          <w:lang w:val="en-US" w:eastAsia="zh-CN"/>
        </w:rPr>
        <w:t>v</w:t>
      </w:r>
      <w:r>
        <w:rPr>
          <w:rFonts w:hint="eastAsia" w:ascii="黑体" w:eastAsia="黑体"/>
          <w:szCs w:val="21"/>
        </w:rPr>
        <w:t xml:space="preserve">isual </w:t>
      </w:r>
      <w:r>
        <w:rPr>
          <w:rFonts w:hint="eastAsia" w:ascii="黑体" w:eastAsia="黑体"/>
          <w:szCs w:val="21"/>
          <w:lang w:val="en-US" w:eastAsia="zh-CN"/>
        </w:rPr>
        <w:t>i</w:t>
      </w:r>
      <w:r>
        <w:rPr>
          <w:rFonts w:hint="eastAsia" w:ascii="黑体" w:eastAsia="黑体"/>
          <w:szCs w:val="21"/>
        </w:rPr>
        <w:t>dentity</w:t>
      </w:r>
    </w:p>
    <w:p>
      <w:pPr>
        <w:pStyle w:val="28"/>
        <w:spacing w:line="360" w:lineRule="auto"/>
        <w:rPr>
          <w:rFonts w:hint="eastAsia"/>
        </w:rPr>
      </w:pPr>
      <w:r>
        <w:rPr>
          <w:rFonts w:hint="eastAsia"/>
        </w:rPr>
        <w:t>企业VI视觉设计，停车场（库）进出口ETC VI设计，用来标明停车场（库）接入辽宁</w:t>
      </w:r>
      <w:r>
        <w:rPr>
          <w:rFonts w:hint="eastAsia"/>
          <w:lang w:eastAsia="zh-CN"/>
        </w:rPr>
        <w:t>高速ETC智慧停车</w:t>
      </w:r>
      <w:r>
        <w:rPr>
          <w:rFonts w:hint="eastAsia"/>
        </w:rPr>
        <w:t>场身份</w:t>
      </w:r>
      <w:r>
        <w:rPr>
          <w:rFonts w:hint="eastAsia"/>
          <w:lang w:eastAsia="zh-CN"/>
        </w:rPr>
        <w:t>及</w:t>
      </w:r>
      <w:r>
        <w:rPr>
          <w:rFonts w:hint="eastAsia"/>
        </w:rPr>
        <w:t>对停车场（库）进出车辆ETC通行与缴费视觉指引。</w:t>
      </w:r>
    </w:p>
    <w:p>
      <w:pPr>
        <w:pStyle w:val="31"/>
        <w:bidi w:val="0"/>
        <w:ind w:left="0" w:leftChars="0" w:firstLine="0" w:firstLineChars="0"/>
      </w:pPr>
      <w:bookmarkStart w:id="43" w:name="_Toc12863"/>
      <w:bookmarkEnd w:id="43"/>
      <w:bookmarkStart w:id="44" w:name="_Toc30310"/>
      <w:bookmarkEnd w:id="44"/>
      <w:bookmarkStart w:id="45" w:name="_Toc17212"/>
      <w:bookmarkEnd w:id="45"/>
      <w:bookmarkStart w:id="46" w:name="_Toc15550"/>
      <w:bookmarkEnd w:id="46"/>
      <w:bookmarkStart w:id="47" w:name="_Toc17318"/>
      <w:bookmarkEnd w:id="47"/>
      <w:bookmarkStart w:id="48" w:name="_Toc280"/>
      <w:bookmarkEnd w:id="48"/>
    </w:p>
    <w:p>
      <w:pPr>
        <w:pStyle w:val="28"/>
        <w:spacing w:line="360" w:lineRule="auto"/>
        <w:rPr>
          <w:rFonts w:hint="eastAsia" w:ascii="黑体" w:eastAsia="黑体"/>
          <w:szCs w:val="21"/>
        </w:rPr>
      </w:pPr>
      <w:r>
        <w:rPr>
          <w:rFonts w:hint="eastAsia" w:ascii="黑体" w:eastAsia="黑体"/>
          <w:szCs w:val="21"/>
        </w:rPr>
        <w:t>停车场（库）</w:t>
      </w:r>
      <w:r>
        <w:rPr>
          <w:rFonts w:hint="eastAsia" w:ascii="黑体" w:eastAsia="黑体"/>
          <w:szCs w:val="21"/>
          <w:lang w:val="en-US" w:eastAsia="zh-CN"/>
        </w:rPr>
        <w:t>集成商</w:t>
      </w:r>
      <w:r>
        <w:rPr>
          <w:rFonts w:hint="eastAsia" w:ascii="黑体" w:eastAsia="黑体"/>
          <w:szCs w:val="21"/>
          <w:lang w:eastAsia="zh-CN"/>
        </w:rPr>
        <w:t>　</w:t>
      </w:r>
      <w:r>
        <w:rPr>
          <w:rFonts w:hint="eastAsia" w:ascii="黑体" w:eastAsia="黑体"/>
          <w:szCs w:val="21"/>
        </w:rPr>
        <w:t>parking management corporation</w:t>
      </w:r>
    </w:p>
    <w:p>
      <w:pPr>
        <w:pStyle w:val="28"/>
        <w:bidi w:val="0"/>
        <w:spacing w:line="360" w:lineRule="auto"/>
        <w:ind w:left="0" w:leftChars="0" w:firstLine="420" w:firstLineChars="200"/>
      </w:pPr>
      <w:r>
        <w:rPr>
          <w:rFonts w:hint="eastAsia"/>
        </w:rPr>
        <w:t>自主经营或接受委托经营停车场的法人。</w:t>
      </w:r>
    </w:p>
    <w:p>
      <w:pPr>
        <w:pStyle w:val="30"/>
        <w:bidi w:val="0"/>
        <w:ind w:left="0" w:leftChars="0" w:firstLine="0" w:firstLineChars="0"/>
        <w:rPr>
          <w:rFonts w:hint="eastAsia"/>
        </w:rPr>
      </w:pPr>
      <w:bookmarkStart w:id="49" w:name="_Toc13638"/>
      <w:bookmarkEnd w:id="49"/>
      <w:bookmarkStart w:id="50" w:name="_Toc12270"/>
      <w:bookmarkEnd w:id="50"/>
      <w:bookmarkStart w:id="51" w:name="_Toc11884"/>
      <w:bookmarkEnd w:id="51"/>
      <w:bookmarkStart w:id="52" w:name="_Toc6349"/>
      <w:bookmarkEnd w:id="52"/>
      <w:bookmarkStart w:id="53" w:name="_Toc14862"/>
      <w:bookmarkEnd w:id="53"/>
      <w:bookmarkStart w:id="54" w:name="_Toc28225"/>
      <w:bookmarkEnd w:id="54"/>
      <w:bookmarkStart w:id="55" w:name="_Toc29340"/>
      <w:bookmarkEnd w:id="55"/>
      <w:bookmarkStart w:id="56" w:name="_Toc31869"/>
      <w:bookmarkEnd w:id="56"/>
      <w:bookmarkStart w:id="57" w:name="_Toc1567"/>
      <w:bookmarkEnd w:id="57"/>
      <w:bookmarkStart w:id="58" w:name="_Toc16784"/>
      <w:bookmarkEnd w:id="58"/>
      <w:bookmarkStart w:id="59" w:name="_Toc420509189"/>
      <w:bookmarkEnd w:id="59"/>
      <w:bookmarkStart w:id="60" w:name="_Toc5131"/>
      <w:bookmarkEnd w:id="60"/>
      <w:bookmarkStart w:id="61" w:name="_Toc26135"/>
      <w:bookmarkEnd w:id="61"/>
      <w:bookmarkStart w:id="62" w:name="_Toc16863"/>
      <w:bookmarkEnd w:id="62"/>
      <w:bookmarkStart w:id="63" w:name="_Toc27877"/>
      <w:bookmarkEnd w:id="63"/>
      <w:bookmarkStart w:id="64" w:name="_Toc13834"/>
      <w:bookmarkEnd w:id="64"/>
      <w:bookmarkStart w:id="65" w:name="_Toc30586"/>
      <w:bookmarkEnd w:id="65"/>
      <w:bookmarkStart w:id="66" w:name="_Toc27557"/>
      <w:bookmarkEnd w:id="66"/>
      <w:bookmarkStart w:id="67" w:name="_Toc1258"/>
      <w:bookmarkEnd w:id="67"/>
      <w:bookmarkStart w:id="68" w:name="_Toc22486"/>
      <w:bookmarkEnd w:id="68"/>
      <w:bookmarkStart w:id="69" w:name="_Toc420509245"/>
      <w:bookmarkEnd w:id="69"/>
      <w:bookmarkStart w:id="70" w:name="_Toc14701"/>
      <w:bookmarkEnd w:id="70"/>
      <w:bookmarkStart w:id="71" w:name="_Toc6338"/>
      <w:bookmarkEnd w:id="71"/>
      <w:bookmarkStart w:id="72" w:name="_Toc20309"/>
      <w:bookmarkEnd w:id="72"/>
      <w:bookmarkStart w:id="73" w:name="_Toc4547"/>
      <w:bookmarkEnd w:id="73"/>
      <w:bookmarkStart w:id="74" w:name="_Toc10967"/>
      <w:bookmarkStart w:id="75" w:name="_Toc420508186"/>
      <w:bookmarkStart w:id="76" w:name="_Toc420582963"/>
      <w:r>
        <w:rPr>
          <w:rFonts w:hint="eastAsia"/>
          <w:lang w:val="en-US" w:eastAsia="zh-CN"/>
        </w:rPr>
        <w:t>缩略语</w:t>
      </w:r>
      <w:bookmarkEnd w:id="74"/>
    </w:p>
    <w:p>
      <w:pPr>
        <w:pStyle w:val="28"/>
        <w:spacing w:line="360" w:lineRule="auto"/>
      </w:pPr>
      <w:r>
        <w:rPr>
          <w:rFonts w:hint="eastAsia"/>
          <w:lang w:val="en-US" w:eastAsia="zh-CN"/>
        </w:rPr>
        <w:t>下列缩略语适用于本文件。</w:t>
      </w:r>
    </w:p>
    <w:p>
      <w:pPr>
        <w:pStyle w:val="28"/>
        <w:spacing w:line="360" w:lineRule="auto"/>
        <w:rPr>
          <w:rFonts w:hint="eastAsia" w:hAnsi="宋体" w:cs="宋体"/>
          <w:kern w:val="2"/>
          <w:szCs w:val="21"/>
          <w:lang w:eastAsia="zh-CN"/>
        </w:rPr>
      </w:pPr>
      <w:r>
        <w:rPr>
          <w:rFonts w:hint="eastAsia" w:hAnsi="宋体" w:cs="宋体"/>
          <w:kern w:val="2"/>
          <w:szCs w:val="21"/>
          <w:lang w:val="en-US" w:eastAsia="zh-CN"/>
        </w:rPr>
        <w:t>ETC</w:t>
      </w:r>
      <w:r>
        <w:rPr>
          <w:rFonts w:hint="eastAsia" w:hAnsi="宋体" w:cs="宋体"/>
          <w:kern w:val="2"/>
          <w:szCs w:val="21"/>
          <w:lang w:eastAsia="zh-CN"/>
        </w:rPr>
        <w:t>：</w:t>
      </w:r>
      <w:r>
        <w:rPr>
          <w:rFonts w:hint="eastAsia" w:hAnsi="宋体" w:cs="宋体"/>
          <w:kern w:val="2"/>
          <w:szCs w:val="21"/>
          <w:lang w:val="en-US" w:eastAsia="zh-CN"/>
        </w:rPr>
        <w:t>电子不停车收费系统</w:t>
      </w:r>
      <w:r>
        <w:rPr>
          <w:rFonts w:hint="eastAsia" w:hAnsi="宋体" w:cs="宋体"/>
          <w:kern w:val="2"/>
          <w:szCs w:val="21"/>
          <w:lang w:eastAsia="zh-CN"/>
        </w:rPr>
        <w:t>（</w:t>
      </w:r>
      <w:r>
        <w:rPr>
          <w:rFonts w:hint="eastAsia" w:hAnsi="宋体" w:cs="宋体"/>
          <w:kern w:val="2"/>
          <w:szCs w:val="21"/>
        </w:rPr>
        <w:t>Electronic Toll Collection</w:t>
      </w:r>
      <w:r>
        <w:rPr>
          <w:rFonts w:hint="eastAsia" w:hAnsi="宋体" w:cs="宋体"/>
          <w:kern w:val="2"/>
          <w:szCs w:val="21"/>
          <w:lang w:eastAsia="zh-CN"/>
        </w:rPr>
        <w:t>）</w:t>
      </w:r>
    </w:p>
    <w:p>
      <w:pPr>
        <w:pStyle w:val="28"/>
        <w:spacing w:line="360" w:lineRule="auto"/>
        <w:rPr>
          <w:rFonts w:hint="default" w:hAnsi="宋体" w:cs="宋体"/>
          <w:kern w:val="2"/>
          <w:szCs w:val="21"/>
          <w:lang w:val="en-US" w:eastAsia="zh-CN"/>
        </w:rPr>
      </w:pPr>
      <w:r>
        <w:rPr>
          <w:rFonts w:hint="eastAsia" w:hAnsi="宋体" w:cs="宋体"/>
          <w:kern w:val="2"/>
          <w:szCs w:val="21"/>
          <w:lang w:val="en-US" w:eastAsia="zh-CN"/>
        </w:rPr>
        <w:t>MTC：公路半自动车道收费系统（Manual Toll Collection system）</w:t>
      </w:r>
    </w:p>
    <w:p>
      <w:pPr>
        <w:pStyle w:val="28"/>
        <w:spacing w:line="360" w:lineRule="auto"/>
        <w:rPr>
          <w:rFonts w:hint="eastAsia" w:hAnsi="宋体" w:cs="宋体"/>
          <w:kern w:val="2"/>
          <w:szCs w:val="21"/>
          <w:lang w:val="en-US" w:eastAsia="zh-CN"/>
        </w:rPr>
      </w:pPr>
      <w:r>
        <w:rPr>
          <w:rFonts w:hint="eastAsia" w:hAnsi="宋体" w:cs="宋体"/>
          <w:kern w:val="2"/>
          <w:szCs w:val="21"/>
          <w:lang w:val="en-US" w:eastAsia="zh-CN"/>
        </w:rPr>
        <w:t>OBU：车载单元（On Board Unit）</w:t>
      </w:r>
    </w:p>
    <w:p>
      <w:pPr>
        <w:pStyle w:val="28"/>
        <w:spacing w:line="360" w:lineRule="auto"/>
        <w:rPr>
          <w:rFonts w:hint="default" w:hAnsi="宋体" w:cs="宋体"/>
          <w:kern w:val="2"/>
          <w:szCs w:val="21"/>
          <w:lang w:val="en-US" w:eastAsia="zh-CN"/>
        </w:rPr>
      </w:pPr>
      <w:r>
        <w:rPr>
          <w:rFonts w:hint="eastAsia" w:hAnsi="宋体" w:cs="宋体"/>
          <w:kern w:val="2"/>
          <w:szCs w:val="21"/>
          <w:lang w:val="en-US" w:eastAsia="zh-CN"/>
        </w:rPr>
        <w:t>RSU：路侧单元（</w:t>
      </w:r>
      <w:r>
        <w:rPr>
          <w:rFonts w:hint="eastAsia" w:ascii="宋体" w:hAnsi="宋体" w:eastAsia="宋体" w:cs="宋体"/>
          <w:i w:val="0"/>
          <w:iCs w:val="0"/>
          <w:caps w:val="0"/>
          <w:color w:val="333333"/>
          <w:spacing w:val="0"/>
          <w:kern w:val="2"/>
          <w:sz w:val="21"/>
          <w:szCs w:val="21"/>
          <w:shd w:val="clear" w:fill="auto"/>
        </w:rPr>
        <w:t>Road Side Unit</w:t>
      </w:r>
      <w:r>
        <w:rPr>
          <w:rFonts w:hint="eastAsia" w:hAnsi="宋体" w:cs="宋体"/>
          <w:kern w:val="2"/>
          <w:szCs w:val="21"/>
          <w:lang w:val="en-US" w:eastAsia="zh-CN"/>
        </w:rPr>
        <w:t>）</w:t>
      </w:r>
    </w:p>
    <w:p>
      <w:pPr>
        <w:pStyle w:val="30"/>
        <w:bidi w:val="0"/>
        <w:ind w:left="0" w:leftChars="0" w:firstLine="0" w:firstLineChars="0"/>
        <w:rPr>
          <w:rFonts w:hint="eastAsia"/>
        </w:rPr>
      </w:pPr>
      <w:bookmarkStart w:id="77" w:name="_Toc12892"/>
      <w:r>
        <w:rPr>
          <w:rFonts w:hint="eastAsia"/>
          <w:lang w:val="en-US" w:eastAsia="zh-CN"/>
        </w:rPr>
        <w:t>前置条件</w:t>
      </w:r>
      <w:bookmarkEnd w:id="77"/>
    </w:p>
    <w:p>
      <w:pPr>
        <w:pStyle w:val="28"/>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firstLine="420" w:firstLineChars="200"/>
        <w:textAlignment w:val="auto"/>
        <w:rPr>
          <w:rFonts w:hint="eastAsia"/>
          <w:szCs w:val="22"/>
          <w:lang w:val="en-US" w:eastAsia="zh-CN"/>
        </w:rPr>
      </w:pPr>
      <w:r>
        <w:rPr>
          <w:rFonts w:hint="eastAsia"/>
          <w:szCs w:val="22"/>
          <w:lang w:val="en-US" w:eastAsia="zh-CN"/>
        </w:rPr>
        <w:t>本文件是在准入停车场（库）已具备运维体系的基础上而制定的，是对停车场（库）就新增ETC软硬件设施给出运维工作内容与标准的规范要求。</w:t>
      </w:r>
    </w:p>
    <w:p>
      <w:pPr>
        <w:pStyle w:val="30"/>
        <w:bidi w:val="0"/>
        <w:ind w:left="0" w:leftChars="0" w:firstLine="0" w:firstLineChars="0"/>
        <w:rPr>
          <w:rFonts w:hint="eastAsia"/>
          <w:lang w:val="en-US" w:eastAsia="zh-CN"/>
        </w:rPr>
      </w:pPr>
      <w:bookmarkStart w:id="78" w:name="_Toc15026"/>
      <w:r>
        <w:rPr>
          <w:rFonts w:hint="eastAsia"/>
          <w:lang w:val="en-US" w:eastAsia="zh-CN"/>
        </w:rPr>
        <w:t>各方职责</w:t>
      </w:r>
      <w:bookmarkEnd w:id="78"/>
    </w:p>
    <w:p>
      <w:pPr>
        <w:pStyle w:val="31"/>
        <w:bidi w:val="0"/>
        <w:ind w:left="0" w:leftChars="0" w:firstLine="0" w:firstLineChars="0"/>
        <w:rPr>
          <w:rFonts w:hint="eastAsia"/>
          <w:lang w:val="en-US" w:eastAsia="zh-CN"/>
        </w:rPr>
      </w:pPr>
      <w:r>
        <w:rPr>
          <w:rFonts w:hint="eastAsia"/>
          <w:lang w:val="en-US" w:eastAsia="zh-CN"/>
        </w:rPr>
        <w:t>停车场（库）集成商</w:t>
      </w:r>
    </w:p>
    <w:p>
      <w:pPr>
        <w:pStyle w:val="28"/>
        <w:rPr>
          <w:rFonts w:hint="default"/>
          <w:lang w:val="en-US" w:eastAsia="zh-CN"/>
        </w:rPr>
      </w:pPr>
      <w:r>
        <w:rPr>
          <w:rFonts w:hint="eastAsia"/>
          <w:szCs w:val="22"/>
          <w:lang w:val="en-US" w:eastAsia="zh-CN"/>
        </w:rPr>
        <w:t>停车场（库）集成商，是面向车主客户及监管部门的唯一责任人，其职责应满足下列要求。</w:t>
      </w:r>
    </w:p>
    <w:p>
      <w:pPr>
        <w:pStyle w:val="28"/>
        <w:keepNext w:val="0"/>
        <w:keepLines w:val="0"/>
        <w:pageBreakBefore w:val="0"/>
        <w:widowControl/>
        <w:numPr>
          <w:ilvl w:val="0"/>
          <w:numId w:val="3"/>
        </w:numPr>
        <w:kinsoku/>
        <w:wordWrap/>
        <w:overflowPunct/>
        <w:topLinePunct w:val="0"/>
        <w:autoSpaceDE w:val="0"/>
        <w:autoSpaceDN w:val="0"/>
        <w:bidi w:val="0"/>
        <w:adjustRightInd/>
        <w:snapToGrid/>
        <w:spacing w:line="360" w:lineRule="auto"/>
        <w:ind w:firstLine="420" w:firstLineChars="200"/>
        <w:textAlignment w:val="auto"/>
        <w:rPr>
          <w:rFonts w:hint="eastAsia"/>
          <w:szCs w:val="22"/>
          <w:lang w:val="en-US" w:eastAsia="zh-CN"/>
        </w:rPr>
      </w:pPr>
      <w:r>
        <w:rPr>
          <w:rFonts w:hint="eastAsia"/>
          <w:szCs w:val="22"/>
          <w:lang w:val="en-US" w:eastAsia="zh-CN"/>
        </w:rPr>
        <w:t>负责场内ETC停车服务相关软硬件设施运维管理工作，是面向车主客户及监管部门的唯一责任人；</w:t>
      </w:r>
    </w:p>
    <w:p>
      <w:pPr>
        <w:pStyle w:val="28"/>
        <w:keepNext w:val="0"/>
        <w:keepLines w:val="0"/>
        <w:pageBreakBefore w:val="0"/>
        <w:widowControl/>
        <w:numPr>
          <w:ilvl w:val="0"/>
          <w:numId w:val="3"/>
        </w:numPr>
        <w:kinsoku/>
        <w:wordWrap/>
        <w:overflowPunct/>
        <w:topLinePunct w:val="0"/>
        <w:autoSpaceDE w:val="0"/>
        <w:autoSpaceDN w:val="0"/>
        <w:bidi w:val="0"/>
        <w:adjustRightInd/>
        <w:snapToGrid/>
        <w:spacing w:line="360" w:lineRule="auto"/>
        <w:ind w:firstLine="420" w:firstLineChars="200"/>
        <w:textAlignment w:val="auto"/>
        <w:rPr>
          <w:rFonts w:hint="eastAsia"/>
          <w:szCs w:val="22"/>
          <w:lang w:val="en-US" w:eastAsia="zh-CN"/>
        </w:rPr>
      </w:pPr>
      <w:r>
        <w:rPr>
          <w:rFonts w:hint="eastAsia"/>
          <w:szCs w:val="22"/>
          <w:lang w:val="en-US" w:eastAsia="zh-CN"/>
        </w:rPr>
        <w:t>应与停车场（库）业主方、渠道方及运营方等相关干系主体，以合同形式明确各方对场内ETC停车服务相关软硬设施的运维责任，保障场内ETC停车各项运维服务平稳运行；</w:t>
      </w:r>
    </w:p>
    <w:p>
      <w:pPr>
        <w:pStyle w:val="28"/>
        <w:keepNext w:val="0"/>
        <w:keepLines w:val="0"/>
        <w:pageBreakBefore w:val="0"/>
        <w:widowControl/>
        <w:numPr>
          <w:ilvl w:val="0"/>
          <w:numId w:val="3"/>
        </w:numPr>
        <w:kinsoku/>
        <w:wordWrap/>
        <w:overflowPunct/>
        <w:topLinePunct w:val="0"/>
        <w:autoSpaceDE w:val="0"/>
        <w:autoSpaceDN w:val="0"/>
        <w:bidi w:val="0"/>
        <w:adjustRightInd/>
        <w:snapToGrid/>
        <w:spacing w:line="360" w:lineRule="auto"/>
        <w:ind w:firstLine="420" w:firstLineChars="200"/>
        <w:textAlignment w:val="auto"/>
        <w:rPr>
          <w:rFonts w:hint="eastAsia"/>
          <w:szCs w:val="22"/>
          <w:lang w:val="en-US" w:eastAsia="zh-CN"/>
        </w:rPr>
      </w:pPr>
      <w:r>
        <w:rPr>
          <w:rFonts w:hint="eastAsia"/>
          <w:szCs w:val="22"/>
          <w:lang w:val="en-US" w:eastAsia="zh-CN"/>
        </w:rPr>
        <w:t>负责对引入的ETC停车服务相关软硬件设施进行日常运维管理。运维内容应符合本文件要求，确保各项服务的标准化和规范化，保障对客户服务的一致性与客户满意度；</w:t>
      </w:r>
    </w:p>
    <w:p>
      <w:pPr>
        <w:pStyle w:val="28"/>
        <w:keepNext w:val="0"/>
        <w:keepLines w:val="0"/>
        <w:pageBreakBefore w:val="0"/>
        <w:widowControl/>
        <w:numPr>
          <w:ilvl w:val="0"/>
          <w:numId w:val="3"/>
        </w:numPr>
        <w:kinsoku/>
        <w:wordWrap/>
        <w:overflowPunct/>
        <w:topLinePunct w:val="0"/>
        <w:autoSpaceDE w:val="0"/>
        <w:autoSpaceDN w:val="0"/>
        <w:bidi w:val="0"/>
        <w:adjustRightInd/>
        <w:snapToGrid/>
        <w:spacing w:line="360" w:lineRule="auto"/>
        <w:ind w:firstLine="420" w:firstLineChars="200"/>
        <w:textAlignment w:val="auto"/>
        <w:rPr>
          <w:rFonts w:hint="eastAsia"/>
          <w:szCs w:val="22"/>
          <w:lang w:val="en-US" w:eastAsia="zh-CN"/>
        </w:rPr>
      </w:pPr>
      <w:r>
        <w:rPr>
          <w:rFonts w:hint="eastAsia"/>
          <w:szCs w:val="22"/>
          <w:lang w:val="en-US" w:eastAsia="zh-CN"/>
        </w:rPr>
        <w:t>负责对停车场（库）提供ETC停车服务相关软硬件设施的运维操作培训，保障各项运维操作能够按照规范标准开展实施，并达到预期效果；</w:t>
      </w:r>
    </w:p>
    <w:p>
      <w:pPr>
        <w:pStyle w:val="28"/>
        <w:keepNext w:val="0"/>
        <w:keepLines w:val="0"/>
        <w:pageBreakBefore w:val="0"/>
        <w:widowControl/>
        <w:numPr>
          <w:ilvl w:val="0"/>
          <w:numId w:val="3"/>
        </w:numPr>
        <w:kinsoku/>
        <w:wordWrap/>
        <w:overflowPunct/>
        <w:topLinePunct w:val="0"/>
        <w:autoSpaceDE w:val="0"/>
        <w:autoSpaceDN w:val="0"/>
        <w:bidi w:val="0"/>
        <w:adjustRightInd/>
        <w:snapToGrid/>
        <w:spacing w:line="360" w:lineRule="auto"/>
        <w:ind w:firstLine="420" w:firstLineChars="200"/>
        <w:textAlignment w:val="auto"/>
        <w:rPr>
          <w:rFonts w:hint="eastAsia"/>
          <w:szCs w:val="22"/>
          <w:lang w:val="en-US" w:eastAsia="zh-CN"/>
        </w:rPr>
      </w:pPr>
      <w:r>
        <w:rPr>
          <w:rFonts w:hint="eastAsia"/>
          <w:szCs w:val="22"/>
          <w:lang w:val="en-US" w:eastAsia="zh-CN"/>
        </w:rPr>
        <w:t>负责对停车场（库）的ETC VI标识、ETC天线设备及停车管理系统设施与部署情况，进行备案登记；</w:t>
      </w:r>
    </w:p>
    <w:p>
      <w:pPr>
        <w:pStyle w:val="31"/>
        <w:keepNext w:val="0"/>
        <w:keepLines w:val="0"/>
        <w:pageBreakBefore w:val="0"/>
        <w:widowControl/>
        <w:numPr>
          <w:ilvl w:val="-1"/>
          <w:numId w:val="0"/>
        </w:numPr>
        <w:kinsoku/>
        <w:wordWrap/>
        <w:overflowPunct/>
        <w:topLinePunct w:val="0"/>
        <w:autoSpaceDE w:val="0"/>
        <w:autoSpaceDN w:val="0"/>
        <w:bidi w:val="0"/>
        <w:adjustRightInd/>
        <w:snapToGrid/>
        <w:spacing w:line="360" w:lineRule="auto"/>
        <w:ind w:firstLine="0" w:firstLineChars="0"/>
        <w:textAlignment w:val="auto"/>
        <w:rPr>
          <w:rFonts w:hint="eastAsia"/>
          <w:szCs w:val="21"/>
          <w:lang w:val="en-US" w:eastAsia="zh-CN"/>
        </w:rPr>
      </w:pPr>
      <w:r>
        <w:rPr>
          <w:rFonts w:hint="eastAsia"/>
          <w:lang w:val="en-US" w:eastAsia="zh-CN"/>
        </w:rPr>
        <w:t>6.2  辽宁ETC发行机构</w:t>
      </w:r>
    </w:p>
    <w:p>
      <w:pPr>
        <w:pStyle w:val="28"/>
        <w:keepNext w:val="0"/>
        <w:keepLines w:val="0"/>
        <w:pageBreakBefore w:val="0"/>
        <w:widowControl/>
        <w:numPr>
          <w:ilvl w:val="-1"/>
          <w:numId w:val="0"/>
        </w:numPr>
        <w:kinsoku/>
        <w:wordWrap/>
        <w:overflowPunct/>
        <w:topLinePunct w:val="0"/>
        <w:autoSpaceDE w:val="0"/>
        <w:autoSpaceDN w:val="0"/>
        <w:bidi w:val="0"/>
        <w:adjustRightInd/>
        <w:snapToGrid/>
        <w:spacing w:line="360" w:lineRule="auto"/>
        <w:ind w:firstLine="420" w:firstLineChars="200"/>
        <w:textAlignment w:val="auto"/>
        <w:rPr>
          <w:rFonts w:hint="eastAsia"/>
          <w:szCs w:val="22"/>
          <w:highlight w:val="none"/>
          <w:lang w:val="en-US" w:eastAsia="zh-CN"/>
        </w:rPr>
      </w:pPr>
      <w:r>
        <w:rPr>
          <w:rFonts w:hint="eastAsia"/>
          <w:szCs w:val="22"/>
          <w:lang w:val="en-US" w:eastAsia="zh-CN"/>
        </w:rPr>
        <w:t>负责对接入停车场（库）的ETC停车服务相关软硬件设施日常运维工作进行监督与管理。应至少每3个月抽查一次，并对抽查内容进行打分（</w:t>
      </w:r>
      <w:r>
        <w:rPr>
          <w:rFonts w:hint="eastAsia"/>
          <w:szCs w:val="22"/>
          <w:highlight w:val="none"/>
          <w:lang w:val="en-US" w:eastAsia="zh-CN"/>
        </w:rPr>
        <w:t>见附录A ）。</w:t>
      </w:r>
    </w:p>
    <w:p>
      <w:pPr>
        <w:pStyle w:val="30"/>
        <w:bidi w:val="0"/>
        <w:ind w:left="0" w:leftChars="0" w:firstLine="0" w:firstLineChars="0"/>
        <w:rPr>
          <w:rFonts w:hint="eastAsia"/>
          <w:lang w:val="en-US" w:eastAsia="zh-CN"/>
        </w:rPr>
      </w:pPr>
      <w:bookmarkStart w:id="79" w:name="_Toc426"/>
      <w:r>
        <w:rPr>
          <w:rFonts w:hint="eastAsia"/>
          <w:lang w:val="en-US" w:eastAsia="zh-CN"/>
        </w:rPr>
        <w:t>运维目标</w:t>
      </w:r>
      <w:bookmarkEnd w:id="79"/>
    </w:p>
    <w:p>
      <w:pPr>
        <w:pStyle w:val="28"/>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firstLine="420" w:firstLineChars="200"/>
        <w:textAlignment w:val="auto"/>
        <w:rPr>
          <w:rFonts w:hint="default" w:eastAsia="宋体"/>
          <w:szCs w:val="22"/>
          <w:lang w:val="en-US" w:eastAsia="zh-CN"/>
        </w:rPr>
      </w:pPr>
      <w:r>
        <w:rPr>
          <w:rFonts w:hint="eastAsia"/>
          <w:szCs w:val="21"/>
        </w:rPr>
        <w:t>ETC</w:t>
      </w:r>
      <w:r>
        <w:rPr>
          <w:rFonts w:hint="eastAsia"/>
          <w:szCs w:val="21"/>
          <w:lang w:val="en-US" w:eastAsia="zh-CN"/>
        </w:rPr>
        <w:t>智慧停车场应满足下列运维目标。</w:t>
      </w:r>
    </w:p>
    <w:p>
      <w:pPr>
        <w:pStyle w:val="28"/>
        <w:keepNext w:val="0"/>
        <w:keepLines w:val="0"/>
        <w:pageBreakBefore w:val="0"/>
        <w:widowControl/>
        <w:numPr>
          <w:ilvl w:val="0"/>
          <w:numId w:val="4"/>
        </w:numPr>
        <w:kinsoku/>
        <w:wordWrap/>
        <w:overflowPunct/>
        <w:topLinePunct w:val="0"/>
        <w:autoSpaceDE w:val="0"/>
        <w:autoSpaceDN w:val="0"/>
        <w:bidi w:val="0"/>
        <w:adjustRightInd/>
        <w:snapToGrid/>
        <w:spacing w:line="360" w:lineRule="auto"/>
        <w:ind w:firstLine="420" w:firstLineChars="200"/>
        <w:textAlignment w:val="auto"/>
        <w:rPr>
          <w:rFonts w:hint="eastAsia"/>
          <w:szCs w:val="22"/>
          <w:lang w:val="en-US" w:eastAsia="zh-CN"/>
        </w:rPr>
      </w:pPr>
      <w:r>
        <w:rPr>
          <w:rFonts w:hint="eastAsia"/>
          <w:szCs w:val="22"/>
          <w:lang w:val="en-US" w:eastAsia="zh-CN"/>
        </w:rPr>
        <w:t>保障停车场（库）内ETC停车服务相关的软硬件设施稳定运行及客户咨询与投诉及时与有效响应，提升客户的满意度；</w:t>
      </w:r>
    </w:p>
    <w:p>
      <w:pPr>
        <w:pStyle w:val="28"/>
        <w:keepNext w:val="0"/>
        <w:keepLines w:val="0"/>
        <w:pageBreakBefore w:val="0"/>
        <w:widowControl/>
        <w:numPr>
          <w:ilvl w:val="0"/>
          <w:numId w:val="4"/>
        </w:numPr>
        <w:kinsoku/>
        <w:wordWrap/>
        <w:overflowPunct/>
        <w:topLinePunct w:val="0"/>
        <w:autoSpaceDE w:val="0"/>
        <w:autoSpaceDN w:val="0"/>
        <w:bidi w:val="0"/>
        <w:adjustRightInd/>
        <w:snapToGrid/>
        <w:spacing w:line="360" w:lineRule="auto"/>
        <w:ind w:firstLine="420" w:firstLineChars="200"/>
        <w:textAlignment w:val="auto"/>
        <w:rPr>
          <w:rFonts w:hint="eastAsia"/>
          <w:szCs w:val="22"/>
          <w:lang w:val="en-US" w:eastAsia="zh-CN"/>
        </w:rPr>
      </w:pPr>
      <w:r>
        <w:rPr>
          <w:rFonts w:hint="eastAsia"/>
          <w:szCs w:val="22"/>
          <w:lang w:val="en-US" w:eastAsia="zh-CN"/>
        </w:rPr>
        <w:t>实现停车场（库）内ETC停车服务，从系统层到业务层的全面监控，从被动处理转变为主动预防，提升异常问题的快速定位和解决能力，保障业务达到连续运行的目的；</w:t>
      </w:r>
    </w:p>
    <w:p>
      <w:pPr>
        <w:pStyle w:val="28"/>
        <w:keepNext w:val="0"/>
        <w:keepLines w:val="0"/>
        <w:pageBreakBefore w:val="0"/>
        <w:widowControl/>
        <w:numPr>
          <w:ilvl w:val="0"/>
          <w:numId w:val="4"/>
        </w:numPr>
        <w:kinsoku/>
        <w:wordWrap/>
        <w:overflowPunct/>
        <w:topLinePunct w:val="0"/>
        <w:autoSpaceDE w:val="0"/>
        <w:autoSpaceDN w:val="0"/>
        <w:bidi w:val="0"/>
        <w:adjustRightInd/>
        <w:snapToGrid/>
        <w:spacing w:line="360" w:lineRule="auto"/>
        <w:ind w:firstLine="420" w:firstLineChars="200"/>
        <w:textAlignment w:val="auto"/>
        <w:rPr>
          <w:rFonts w:hint="eastAsia"/>
          <w:szCs w:val="22"/>
          <w:lang w:val="en-US" w:eastAsia="zh-CN"/>
        </w:rPr>
      </w:pPr>
      <w:r>
        <w:rPr>
          <w:rFonts w:hint="eastAsia"/>
          <w:szCs w:val="22"/>
          <w:lang w:val="en-US" w:eastAsia="zh-CN"/>
        </w:rPr>
        <w:t>保障业务安全性；</w:t>
      </w:r>
    </w:p>
    <w:p>
      <w:pPr>
        <w:pStyle w:val="28"/>
        <w:keepNext w:val="0"/>
        <w:keepLines w:val="0"/>
        <w:pageBreakBefore w:val="0"/>
        <w:widowControl/>
        <w:numPr>
          <w:ilvl w:val="0"/>
          <w:numId w:val="4"/>
        </w:numPr>
        <w:kinsoku/>
        <w:wordWrap/>
        <w:overflowPunct/>
        <w:topLinePunct w:val="0"/>
        <w:autoSpaceDE w:val="0"/>
        <w:autoSpaceDN w:val="0"/>
        <w:bidi w:val="0"/>
        <w:adjustRightInd/>
        <w:snapToGrid/>
        <w:spacing w:line="360" w:lineRule="auto"/>
        <w:ind w:firstLine="420" w:firstLineChars="200"/>
        <w:textAlignment w:val="auto"/>
        <w:rPr>
          <w:rFonts w:hint="eastAsia"/>
          <w:szCs w:val="22"/>
          <w:lang w:val="en-US" w:eastAsia="zh-CN"/>
        </w:rPr>
      </w:pPr>
      <w:r>
        <w:rPr>
          <w:rFonts w:hint="eastAsia"/>
          <w:szCs w:val="22"/>
          <w:lang w:val="en-US" w:eastAsia="zh-CN"/>
        </w:rPr>
        <w:t>横向从人员、流程、制度和技术手段等方面，纵向从停车场（库）内ETC VI标识设施、停车管理软件系统、ETC天线硬件设备及ETC停车服务咨询与投诉方面，形成网状结构全面梳理安全问题，保障业务的机密、完整和可用性。</w:t>
      </w:r>
    </w:p>
    <w:p>
      <w:pPr>
        <w:pStyle w:val="30"/>
        <w:bidi w:val="0"/>
        <w:ind w:left="0" w:leftChars="0" w:firstLine="0" w:firstLineChars="0"/>
        <w:rPr>
          <w:rFonts w:hint="eastAsia"/>
          <w:lang w:val="en-US" w:eastAsia="zh-CN"/>
        </w:rPr>
      </w:pPr>
      <w:bookmarkStart w:id="80" w:name="_Toc5829"/>
      <w:r>
        <w:rPr>
          <w:rFonts w:hint="eastAsia"/>
          <w:lang w:val="en-US" w:eastAsia="zh-CN"/>
        </w:rPr>
        <w:t>运维范围</w:t>
      </w:r>
      <w:bookmarkEnd w:id="80"/>
    </w:p>
    <w:p>
      <w:pPr>
        <w:pStyle w:val="28"/>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firstLine="420" w:firstLineChars="200"/>
        <w:textAlignment w:val="auto"/>
        <w:rPr>
          <w:rFonts w:hint="eastAsia"/>
          <w:szCs w:val="22"/>
          <w:lang w:val="en-US" w:eastAsia="zh-CN"/>
        </w:rPr>
      </w:pPr>
      <w:r>
        <w:rPr>
          <w:rFonts w:hint="eastAsia"/>
          <w:szCs w:val="21"/>
        </w:rPr>
        <w:t>ETC</w:t>
      </w:r>
      <w:r>
        <w:rPr>
          <w:rFonts w:hint="eastAsia"/>
          <w:szCs w:val="21"/>
          <w:lang w:val="en-US" w:eastAsia="zh-CN"/>
        </w:rPr>
        <w:t>智慧停车场应满足下列运维范围。</w:t>
      </w:r>
    </w:p>
    <w:p>
      <w:pPr>
        <w:pStyle w:val="28"/>
        <w:keepNext w:val="0"/>
        <w:keepLines w:val="0"/>
        <w:pageBreakBefore w:val="0"/>
        <w:widowControl/>
        <w:numPr>
          <w:ilvl w:val="0"/>
          <w:numId w:val="5"/>
        </w:numPr>
        <w:kinsoku/>
        <w:wordWrap/>
        <w:overflowPunct/>
        <w:topLinePunct w:val="0"/>
        <w:autoSpaceDE w:val="0"/>
        <w:autoSpaceDN w:val="0"/>
        <w:bidi w:val="0"/>
        <w:adjustRightInd/>
        <w:snapToGrid/>
        <w:spacing w:line="360" w:lineRule="auto"/>
        <w:ind w:firstLine="420" w:firstLineChars="200"/>
        <w:textAlignment w:val="auto"/>
        <w:rPr>
          <w:rFonts w:hint="eastAsia"/>
          <w:szCs w:val="22"/>
          <w:lang w:val="en-US" w:eastAsia="zh-CN"/>
        </w:rPr>
      </w:pPr>
      <w:r>
        <w:rPr>
          <w:rFonts w:hint="eastAsia"/>
          <w:szCs w:val="22"/>
          <w:lang w:val="en-US" w:eastAsia="zh-CN"/>
        </w:rPr>
        <w:t>保障停车场（库）ETC VI标识的有效性，能够起到对进出场车辆车主给予醒目、明确和清晰的ETC停车费支付告知与出场ETC支付车道引导作用；</w:t>
      </w:r>
    </w:p>
    <w:p>
      <w:pPr>
        <w:pStyle w:val="28"/>
        <w:keepNext w:val="0"/>
        <w:keepLines w:val="0"/>
        <w:pageBreakBefore w:val="0"/>
        <w:widowControl/>
        <w:numPr>
          <w:ilvl w:val="0"/>
          <w:numId w:val="5"/>
        </w:numPr>
        <w:kinsoku/>
        <w:wordWrap/>
        <w:overflowPunct/>
        <w:topLinePunct w:val="0"/>
        <w:autoSpaceDE w:val="0"/>
        <w:autoSpaceDN w:val="0"/>
        <w:bidi w:val="0"/>
        <w:adjustRightInd/>
        <w:snapToGrid/>
        <w:spacing w:line="360" w:lineRule="auto"/>
        <w:ind w:firstLine="420" w:firstLineChars="200"/>
        <w:textAlignment w:val="auto"/>
        <w:rPr>
          <w:rFonts w:hint="eastAsia"/>
          <w:szCs w:val="22"/>
          <w:lang w:val="en-US" w:eastAsia="zh-CN"/>
        </w:rPr>
      </w:pPr>
      <w:r>
        <w:rPr>
          <w:rFonts w:hint="eastAsia"/>
          <w:szCs w:val="22"/>
          <w:lang w:val="en-US" w:eastAsia="zh-CN"/>
        </w:rPr>
        <w:t>保障停车场（库）ETC 天线设备能够稳定正常工作，确保停车场（库）依赖ETC天线进行的车辆识别与费用支付业务正常运行；</w:t>
      </w:r>
    </w:p>
    <w:p>
      <w:pPr>
        <w:pStyle w:val="28"/>
        <w:keepNext w:val="0"/>
        <w:keepLines w:val="0"/>
        <w:pageBreakBefore w:val="0"/>
        <w:widowControl/>
        <w:numPr>
          <w:ilvl w:val="0"/>
          <w:numId w:val="5"/>
        </w:numPr>
        <w:kinsoku/>
        <w:wordWrap/>
        <w:overflowPunct/>
        <w:topLinePunct w:val="0"/>
        <w:autoSpaceDE w:val="0"/>
        <w:autoSpaceDN w:val="0"/>
        <w:bidi w:val="0"/>
        <w:adjustRightInd/>
        <w:snapToGrid/>
        <w:spacing w:line="360" w:lineRule="auto"/>
        <w:ind w:firstLine="420" w:firstLineChars="200"/>
        <w:textAlignment w:val="auto"/>
        <w:rPr>
          <w:rFonts w:hint="eastAsia"/>
          <w:szCs w:val="22"/>
          <w:lang w:val="en-US" w:eastAsia="zh-CN"/>
        </w:rPr>
      </w:pPr>
      <w:r>
        <w:rPr>
          <w:rFonts w:hint="eastAsia"/>
          <w:szCs w:val="22"/>
          <w:lang w:val="en-US" w:eastAsia="zh-CN"/>
        </w:rPr>
        <w:t>保障停车管理系统正常运行，使其与之相关联动的停车设施正常运行，确保停车场（库）内车辆出入场地通行、费用扣缴，业务数据记录、查询和上传等各项业务平稳运行；</w:t>
      </w:r>
    </w:p>
    <w:p>
      <w:pPr>
        <w:pStyle w:val="28"/>
        <w:keepNext w:val="0"/>
        <w:keepLines w:val="0"/>
        <w:pageBreakBefore w:val="0"/>
        <w:widowControl/>
        <w:numPr>
          <w:ilvl w:val="0"/>
          <w:numId w:val="5"/>
        </w:numPr>
        <w:kinsoku/>
        <w:wordWrap/>
        <w:overflowPunct/>
        <w:topLinePunct w:val="0"/>
        <w:autoSpaceDE w:val="0"/>
        <w:autoSpaceDN w:val="0"/>
        <w:bidi w:val="0"/>
        <w:adjustRightInd/>
        <w:snapToGrid/>
        <w:spacing w:line="360" w:lineRule="auto"/>
        <w:ind w:firstLine="420" w:firstLineChars="200"/>
        <w:textAlignment w:val="auto"/>
        <w:rPr>
          <w:rFonts w:hint="eastAsia"/>
          <w:szCs w:val="22"/>
          <w:lang w:val="en-US" w:eastAsia="zh-CN"/>
        </w:rPr>
      </w:pPr>
      <w:r>
        <w:rPr>
          <w:rFonts w:hint="eastAsia"/>
          <w:szCs w:val="22"/>
          <w:lang w:val="en-US" w:eastAsia="zh-CN"/>
        </w:rPr>
        <w:t>保障客户对停车场（库）内ETC停车相关业务咨询与投诉，给予及时有效的反馈。解决客户对停车场（库）内ETC停车相关业务的疑惑与不满。</w:t>
      </w:r>
    </w:p>
    <w:p>
      <w:pPr>
        <w:pStyle w:val="30"/>
        <w:bidi w:val="0"/>
        <w:ind w:left="0" w:leftChars="0" w:firstLine="0" w:firstLineChars="0"/>
        <w:rPr>
          <w:rFonts w:hint="eastAsia"/>
          <w:lang w:val="en-US" w:eastAsia="zh-CN"/>
        </w:rPr>
      </w:pPr>
      <w:bookmarkStart w:id="81" w:name="_Toc15261"/>
      <w:r>
        <w:rPr>
          <w:rFonts w:hint="eastAsia"/>
          <w:lang w:val="en-US" w:eastAsia="zh-CN"/>
        </w:rPr>
        <w:t>整体要求</w:t>
      </w:r>
      <w:bookmarkEnd w:id="81"/>
    </w:p>
    <w:p>
      <w:pPr>
        <w:pStyle w:val="31"/>
        <w:bidi w:val="0"/>
        <w:ind w:left="0" w:leftChars="0" w:firstLine="0" w:firstLineChars="0"/>
        <w:rPr>
          <w:rFonts w:hint="eastAsia"/>
          <w:lang w:val="en-US" w:eastAsia="zh-CN"/>
        </w:rPr>
      </w:pPr>
      <w:bookmarkStart w:id="82" w:name="_Toc31244"/>
      <w:r>
        <w:rPr>
          <w:rFonts w:hint="eastAsia"/>
          <w:lang w:val="en-US" w:eastAsia="zh-CN"/>
        </w:rPr>
        <w:t>分工专业化</w:t>
      </w:r>
      <w:bookmarkEnd w:id="82"/>
    </w:p>
    <w:p>
      <w:pPr>
        <w:pStyle w:val="28"/>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firstLine="420" w:firstLineChars="200"/>
        <w:textAlignment w:val="auto"/>
        <w:rPr>
          <w:rFonts w:hint="eastAsia"/>
          <w:szCs w:val="22"/>
          <w:lang w:val="en-US" w:eastAsia="zh-CN"/>
        </w:rPr>
      </w:pPr>
      <w:r>
        <w:rPr>
          <w:rFonts w:hint="eastAsia"/>
          <w:szCs w:val="22"/>
          <w:lang w:val="en-US" w:eastAsia="zh-CN"/>
        </w:rPr>
        <w:t>应避免单一人员全域运维，而应按运维的工作内容进行专业分组分工。通过专业化分组分工，让运维人员在自己所负责的专业工作上做深做精。若运维人员的实际工作饱和度不高，可以在适当的情况下考虑承担多类运维工作。</w:t>
      </w:r>
    </w:p>
    <w:p>
      <w:pPr>
        <w:pStyle w:val="31"/>
        <w:bidi w:val="0"/>
        <w:ind w:left="0" w:leftChars="0" w:firstLine="0" w:firstLineChars="0"/>
        <w:rPr>
          <w:rFonts w:hint="eastAsia"/>
          <w:lang w:val="en-US" w:eastAsia="zh-CN"/>
        </w:rPr>
      </w:pPr>
      <w:bookmarkStart w:id="83" w:name="_Toc27524"/>
      <w:r>
        <w:rPr>
          <w:rFonts w:hint="eastAsia"/>
          <w:lang w:val="en-US" w:eastAsia="zh-CN"/>
        </w:rPr>
        <w:t>工作精细化</w:t>
      </w:r>
      <w:bookmarkEnd w:id="83"/>
    </w:p>
    <w:p>
      <w:pPr>
        <w:pStyle w:val="28"/>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firstLine="420" w:firstLineChars="200"/>
        <w:textAlignment w:val="auto"/>
        <w:rPr>
          <w:rFonts w:hint="eastAsia"/>
          <w:szCs w:val="22"/>
          <w:lang w:val="en-US" w:eastAsia="zh-CN"/>
        </w:rPr>
      </w:pPr>
      <w:r>
        <w:rPr>
          <w:rFonts w:hint="eastAsia"/>
          <w:szCs w:val="22"/>
          <w:lang w:val="en-US" w:eastAsia="zh-CN"/>
        </w:rPr>
        <w:t>停车场（库）ETC软硬设施运维工作应要面向细节，在专业分工小组的基础上加强对细节的管理，确保日常在监控、巡检、维护及工作记录方面的精细化。通过对局部细节的高度关注，识别出潜在的问题，规避问题发生与不必要的损失。</w:t>
      </w:r>
    </w:p>
    <w:p>
      <w:pPr>
        <w:pStyle w:val="31"/>
        <w:bidi w:val="0"/>
        <w:ind w:left="0" w:leftChars="0" w:firstLine="0" w:firstLineChars="0"/>
        <w:rPr>
          <w:rFonts w:hint="eastAsia"/>
          <w:lang w:val="en-US" w:eastAsia="zh-CN"/>
        </w:rPr>
      </w:pPr>
      <w:bookmarkStart w:id="84" w:name="_Toc13760"/>
      <w:r>
        <w:rPr>
          <w:rFonts w:hint="eastAsia"/>
          <w:lang w:val="en-US" w:eastAsia="zh-CN"/>
        </w:rPr>
        <w:t>服务流程化</w:t>
      </w:r>
      <w:bookmarkEnd w:id="84"/>
    </w:p>
    <w:p>
      <w:pPr>
        <w:pStyle w:val="28"/>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firstLine="420" w:firstLineChars="200"/>
        <w:textAlignment w:val="auto"/>
        <w:rPr>
          <w:rFonts w:hint="eastAsia"/>
          <w:szCs w:val="22"/>
          <w:lang w:val="en-US" w:eastAsia="zh-CN"/>
        </w:rPr>
      </w:pPr>
      <w:r>
        <w:rPr>
          <w:rFonts w:hint="eastAsia"/>
          <w:szCs w:val="22"/>
          <w:lang w:val="en-US" w:eastAsia="zh-CN"/>
        </w:rPr>
        <w:t>运维服务的流程化，是实现运维人员工作高效的保障。</w:t>
      </w:r>
    </w:p>
    <w:p>
      <w:pPr>
        <w:pStyle w:val="28"/>
        <w:keepNext w:val="0"/>
        <w:keepLines w:val="0"/>
        <w:pageBreakBefore w:val="0"/>
        <w:widowControl/>
        <w:numPr>
          <w:ilvl w:val="0"/>
          <w:numId w:val="6"/>
        </w:numPr>
        <w:kinsoku/>
        <w:wordWrap/>
        <w:overflowPunct/>
        <w:topLinePunct w:val="0"/>
        <w:autoSpaceDE w:val="0"/>
        <w:autoSpaceDN w:val="0"/>
        <w:bidi w:val="0"/>
        <w:adjustRightInd/>
        <w:snapToGrid/>
        <w:spacing w:line="360" w:lineRule="auto"/>
        <w:ind w:firstLine="420" w:firstLineChars="200"/>
        <w:textAlignment w:val="auto"/>
        <w:rPr>
          <w:rFonts w:hint="eastAsia"/>
          <w:szCs w:val="22"/>
          <w:lang w:val="en-US" w:eastAsia="zh-CN"/>
        </w:rPr>
      </w:pPr>
      <w:r>
        <w:rPr>
          <w:rFonts w:hint="eastAsia"/>
          <w:szCs w:val="22"/>
          <w:lang w:val="en-US" w:eastAsia="zh-CN"/>
        </w:rPr>
        <w:t>运维人员能够对停车场（库）内ETC相关软硬设施，按运维巡检流程对停车场（库）内设施进行检核，并对识别问题按规范流程进行处理或上报；</w:t>
      </w:r>
    </w:p>
    <w:p>
      <w:pPr>
        <w:pStyle w:val="28"/>
        <w:keepNext w:val="0"/>
        <w:keepLines w:val="0"/>
        <w:pageBreakBefore w:val="0"/>
        <w:widowControl/>
        <w:numPr>
          <w:ilvl w:val="0"/>
          <w:numId w:val="6"/>
        </w:numPr>
        <w:kinsoku/>
        <w:wordWrap/>
        <w:overflowPunct/>
        <w:topLinePunct w:val="0"/>
        <w:autoSpaceDE w:val="0"/>
        <w:autoSpaceDN w:val="0"/>
        <w:bidi w:val="0"/>
        <w:adjustRightInd/>
        <w:snapToGrid/>
        <w:spacing w:line="360" w:lineRule="auto"/>
        <w:ind w:firstLine="420" w:firstLineChars="200"/>
        <w:textAlignment w:val="auto"/>
        <w:rPr>
          <w:rFonts w:hint="eastAsia"/>
          <w:szCs w:val="22"/>
          <w:lang w:val="en-US" w:eastAsia="zh-CN"/>
        </w:rPr>
      </w:pPr>
      <w:r>
        <w:rPr>
          <w:rFonts w:hint="eastAsia"/>
          <w:szCs w:val="22"/>
          <w:lang w:val="en-US" w:eastAsia="zh-CN"/>
        </w:rPr>
        <w:t>对客户咨询与投诉事件按流程进行响应，同时对停车场（库）内本地人员无法解决的问题，进行统一受理，并按服务流程上报至相关业务单元或机构。</w:t>
      </w:r>
    </w:p>
    <w:p>
      <w:pPr>
        <w:pStyle w:val="31"/>
        <w:bidi w:val="0"/>
        <w:ind w:left="0" w:leftChars="0" w:firstLine="0" w:firstLineChars="0"/>
        <w:rPr>
          <w:rFonts w:hint="eastAsia"/>
          <w:lang w:val="en-US" w:eastAsia="zh-CN"/>
        </w:rPr>
      </w:pPr>
      <w:bookmarkStart w:id="85" w:name="_Toc19539"/>
      <w:r>
        <w:rPr>
          <w:rFonts w:hint="eastAsia"/>
          <w:lang w:val="en-US" w:eastAsia="zh-CN"/>
        </w:rPr>
        <w:t>操作规范化</w:t>
      </w:r>
      <w:bookmarkEnd w:id="85"/>
    </w:p>
    <w:p>
      <w:pPr>
        <w:pStyle w:val="28"/>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firstLine="420" w:firstLineChars="200"/>
        <w:textAlignment w:val="auto"/>
        <w:rPr>
          <w:rFonts w:hint="eastAsia"/>
          <w:szCs w:val="22"/>
          <w:lang w:val="en-US" w:eastAsia="zh-CN"/>
        </w:rPr>
      </w:pPr>
      <w:r>
        <w:rPr>
          <w:rFonts w:hint="eastAsia"/>
          <w:szCs w:val="22"/>
          <w:lang w:val="en-US" w:eastAsia="zh-CN"/>
        </w:rPr>
        <w:t>应制定运维操作标准细则，对每一项运维操作给出规范性要求。避免关键运维问题处理操作规范化的缺失，而导致的事故或额外损失。</w:t>
      </w:r>
    </w:p>
    <w:p>
      <w:pPr>
        <w:pStyle w:val="28"/>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firstLine="420" w:firstLineChars="200"/>
        <w:textAlignment w:val="auto"/>
        <w:rPr>
          <w:rFonts w:hint="eastAsia"/>
          <w:szCs w:val="22"/>
          <w:lang w:val="en-US" w:eastAsia="zh-CN"/>
        </w:rPr>
      </w:pPr>
      <w:r>
        <w:rPr>
          <w:rFonts w:hint="eastAsia"/>
          <w:szCs w:val="22"/>
          <w:lang w:val="en-US" w:eastAsia="zh-CN"/>
        </w:rPr>
        <w:t>运维团队应针对停车场（库）内实际运维工作情况，逐步完善与丰富运维问题处理操作规范，使其能够更佳匹配本场地设施的运维实际需求。</w:t>
      </w:r>
    </w:p>
    <w:p>
      <w:pPr>
        <w:pStyle w:val="31"/>
        <w:bidi w:val="0"/>
        <w:ind w:left="0" w:leftChars="0" w:firstLine="0" w:firstLineChars="0"/>
        <w:rPr>
          <w:rFonts w:hint="eastAsia"/>
          <w:lang w:val="en-US" w:eastAsia="zh-CN"/>
        </w:rPr>
      </w:pPr>
      <w:bookmarkStart w:id="86" w:name="_Toc30002"/>
      <w:r>
        <w:rPr>
          <w:rFonts w:hint="eastAsia"/>
          <w:lang w:val="en-US" w:eastAsia="zh-CN"/>
        </w:rPr>
        <w:t>运维自动化</w:t>
      </w:r>
      <w:bookmarkEnd w:id="86"/>
    </w:p>
    <w:p>
      <w:pPr>
        <w:pStyle w:val="28"/>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firstLine="420" w:firstLineChars="200"/>
        <w:textAlignment w:val="auto"/>
        <w:rPr>
          <w:rFonts w:hint="eastAsia"/>
          <w:szCs w:val="22"/>
          <w:lang w:val="en-US" w:eastAsia="zh-CN"/>
        </w:rPr>
      </w:pPr>
      <w:r>
        <w:rPr>
          <w:rFonts w:hint="eastAsia"/>
          <w:szCs w:val="22"/>
          <w:lang w:val="en-US" w:eastAsia="zh-CN"/>
        </w:rPr>
        <w:t>在运维体系中宜引入自动系统来辅助运维，如监控系统、运维支撑系统等。将运维工作交由系统自动化完成，有效控制停车场（库）运维人员成本投入，提升运维工作效率与质量。</w:t>
      </w:r>
    </w:p>
    <w:p>
      <w:pPr>
        <w:pStyle w:val="31"/>
        <w:bidi w:val="0"/>
        <w:ind w:left="0" w:leftChars="0" w:firstLine="0" w:firstLineChars="0"/>
        <w:rPr>
          <w:rFonts w:hint="eastAsia"/>
          <w:lang w:val="en-US" w:eastAsia="zh-CN"/>
        </w:rPr>
      </w:pPr>
      <w:bookmarkStart w:id="87" w:name="_Toc3967"/>
      <w:r>
        <w:rPr>
          <w:rFonts w:hint="eastAsia"/>
          <w:lang w:val="en-US" w:eastAsia="zh-CN"/>
        </w:rPr>
        <w:t>运维知识库</w:t>
      </w:r>
      <w:bookmarkEnd w:id="87"/>
    </w:p>
    <w:p>
      <w:pPr>
        <w:pStyle w:val="28"/>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firstLine="420" w:firstLineChars="200"/>
        <w:textAlignment w:val="auto"/>
        <w:rPr>
          <w:rFonts w:hint="eastAsia"/>
          <w:szCs w:val="22"/>
          <w:lang w:val="en-US" w:eastAsia="zh-CN"/>
        </w:rPr>
      </w:pPr>
      <w:r>
        <w:rPr>
          <w:rFonts w:hint="eastAsia"/>
          <w:szCs w:val="22"/>
          <w:lang w:val="en-US" w:eastAsia="zh-CN"/>
        </w:rPr>
        <w:t>在运维工作执行的过程中，应不断的总结本停车场（库）的运维经验与知识，通过对实践获得的宝贵经验与知识进行科学管理与利用，有效的提升运维团队的技能水平与知识储备，以及运维工作质量与效率。结合停车场（库）运维内容，应构建包括如下关键要点的运维知识库。</w:t>
      </w:r>
    </w:p>
    <w:p>
      <w:pPr>
        <w:pStyle w:val="28"/>
        <w:keepNext w:val="0"/>
        <w:keepLines w:val="0"/>
        <w:pageBreakBefore w:val="0"/>
        <w:widowControl/>
        <w:numPr>
          <w:ilvl w:val="0"/>
          <w:numId w:val="7"/>
        </w:numPr>
        <w:kinsoku/>
        <w:wordWrap/>
        <w:overflowPunct/>
        <w:topLinePunct w:val="0"/>
        <w:autoSpaceDE w:val="0"/>
        <w:autoSpaceDN w:val="0"/>
        <w:bidi w:val="0"/>
        <w:adjustRightInd/>
        <w:snapToGrid/>
        <w:spacing w:line="360" w:lineRule="auto"/>
        <w:ind w:firstLine="420" w:firstLineChars="200"/>
        <w:textAlignment w:val="auto"/>
        <w:rPr>
          <w:rFonts w:hint="eastAsia"/>
          <w:szCs w:val="22"/>
          <w:lang w:val="en-US" w:eastAsia="zh-CN"/>
        </w:rPr>
      </w:pPr>
      <w:r>
        <w:rPr>
          <w:rFonts w:hint="eastAsia"/>
          <w:szCs w:val="22"/>
          <w:lang w:val="en-US" w:eastAsia="zh-CN"/>
        </w:rPr>
        <w:t>设施资料库：用于管理本停车场（库）的软硬件设施信息，具体包括品牌、供应商、规格与型号、产品说明书和产品维护手册等归档于此。当遇到问题时，可以快速查找问题标准解决办法与服务商联系方式；</w:t>
      </w:r>
    </w:p>
    <w:p>
      <w:pPr>
        <w:pStyle w:val="28"/>
        <w:keepNext w:val="0"/>
        <w:keepLines w:val="0"/>
        <w:pageBreakBefore w:val="0"/>
        <w:widowControl/>
        <w:numPr>
          <w:ilvl w:val="0"/>
          <w:numId w:val="7"/>
        </w:numPr>
        <w:kinsoku/>
        <w:wordWrap/>
        <w:overflowPunct/>
        <w:topLinePunct w:val="0"/>
        <w:autoSpaceDE w:val="0"/>
        <w:autoSpaceDN w:val="0"/>
        <w:bidi w:val="0"/>
        <w:adjustRightInd/>
        <w:snapToGrid/>
        <w:spacing w:line="360" w:lineRule="auto"/>
        <w:ind w:firstLine="420" w:firstLineChars="200"/>
        <w:textAlignment w:val="auto"/>
        <w:rPr>
          <w:rFonts w:hint="eastAsia"/>
          <w:szCs w:val="22"/>
          <w:lang w:val="en-US" w:eastAsia="zh-CN"/>
        </w:rPr>
      </w:pPr>
      <w:r>
        <w:rPr>
          <w:rFonts w:hint="eastAsia"/>
          <w:szCs w:val="22"/>
          <w:lang w:val="en-US" w:eastAsia="zh-CN"/>
        </w:rPr>
        <w:t>系统问题库：应对运维过程中遇到的事件或问题进行深入的复盘分析，并将形成的文档记录归档于系统问题库。用于日后遇到同类问题时可快速的获取处理方案，同时有利于对问题进行统计分析，找出系统中存在的缺陷并进行完善，从而有效提升停车场（库）内运维工作的专业性；</w:t>
      </w:r>
    </w:p>
    <w:p>
      <w:pPr>
        <w:pStyle w:val="28"/>
        <w:keepNext w:val="0"/>
        <w:keepLines w:val="0"/>
        <w:pageBreakBefore w:val="0"/>
        <w:widowControl/>
        <w:numPr>
          <w:ilvl w:val="0"/>
          <w:numId w:val="7"/>
        </w:numPr>
        <w:kinsoku/>
        <w:wordWrap/>
        <w:overflowPunct/>
        <w:topLinePunct w:val="0"/>
        <w:autoSpaceDE w:val="0"/>
        <w:autoSpaceDN w:val="0"/>
        <w:bidi w:val="0"/>
        <w:adjustRightInd/>
        <w:snapToGrid/>
        <w:spacing w:line="360" w:lineRule="auto"/>
        <w:ind w:firstLine="420" w:firstLineChars="200"/>
        <w:textAlignment w:val="auto"/>
        <w:rPr>
          <w:rFonts w:hint="eastAsia"/>
          <w:szCs w:val="22"/>
          <w:lang w:val="en-US" w:eastAsia="zh-CN"/>
        </w:rPr>
      </w:pPr>
      <w:r>
        <w:rPr>
          <w:rFonts w:hint="eastAsia"/>
          <w:szCs w:val="22"/>
          <w:lang w:val="en-US" w:eastAsia="zh-CN"/>
        </w:rPr>
        <w:t>制度规范库：运维工作管理的各项制度、规范与标准，均归档于制度规范库。并随着运维工作的发展需要持续更新；</w:t>
      </w:r>
    </w:p>
    <w:p>
      <w:pPr>
        <w:pStyle w:val="28"/>
        <w:keepNext w:val="0"/>
        <w:keepLines w:val="0"/>
        <w:pageBreakBefore w:val="0"/>
        <w:widowControl/>
        <w:numPr>
          <w:ilvl w:val="0"/>
          <w:numId w:val="7"/>
        </w:numPr>
        <w:kinsoku/>
        <w:wordWrap/>
        <w:overflowPunct/>
        <w:topLinePunct w:val="0"/>
        <w:autoSpaceDE w:val="0"/>
        <w:autoSpaceDN w:val="0"/>
        <w:bidi w:val="0"/>
        <w:adjustRightInd/>
        <w:snapToGrid/>
        <w:spacing w:line="360" w:lineRule="auto"/>
        <w:ind w:firstLine="420" w:firstLineChars="200"/>
        <w:textAlignment w:val="auto"/>
        <w:rPr>
          <w:rFonts w:hint="eastAsia"/>
          <w:szCs w:val="22"/>
          <w:lang w:val="en-US" w:eastAsia="zh-CN"/>
        </w:rPr>
      </w:pPr>
      <w:r>
        <w:rPr>
          <w:rFonts w:hint="eastAsia"/>
          <w:szCs w:val="22"/>
          <w:lang w:val="en-US" w:eastAsia="zh-CN"/>
        </w:rPr>
        <w:t>培训资料库：对运维工作进行的各种知识传递内容，均归档于培训资料库并按主题进行汇总与组织，便于后续查询与分享。</w:t>
      </w:r>
    </w:p>
    <w:p>
      <w:pPr>
        <w:pStyle w:val="30"/>
        <w:bidi w:val="0"/>
        <w:ind w:left="0" w:leftChars="0" w:firstLine="0" w:firstLineChars="0"/>
        <w:rPr>
          <w:rFonts w:hint="eastAsia"/>
          <w:lang w:val="en-US" w:eastAsia="zh-CN"/>
        </w:rPr>
      </w:pPr>
      <w:bookmarkStart w:id="88" w:name="_Toc12743"/>
      <w:r>
        <w:rPr>
          <w:rFonts w:hint="eastAsia"/>
          <w:lang w:val="en-US" w:eastAsia="zh-CN"/>
        </w:rPr>
        <w:t>运维标准</w:t>
      </w:r>
      <w:bookmarkEnd w:id="88"/>
    </w:p>
    <w:p>
      <w:pPr>
        <w:pStyle w:val="28"/>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firstLine="420" w:firstLineChars="200"/>
        <w:textAlignment w:val="auto"/>
        <w:rPr>
          <w:rFonts w:hint="eastAsia"/>
          <w:szCs w:val="22"/>
          <w:lang w:val="en-US" w:eastAsia="zh-CN"/>
        </w:rPr>
      </w:pPr>
      <w:r>
        <w:rPr>
          <w:rFonts w:hint="eastAsia"/>
          <w:szCs w:val="21"/>
        </w:rPr>
        <w:t xml:space="preserve">ETC </w:t>
      </w:r>
      <w:r>
        <w:rPr>
          <w:rFonts w:hint="eastAsia"/>
          <w:szCs w:val="21"/>
          <w:lang w:val="en-US" w:eastAsia="zh-CN"/>
        </w:rPr>
        <w:t>智慧停车场应满足下列运维标准。</w:t>
      </w:r>
    </w:p>
    <w:p>
      <w:pPr>
        <w:pStyle w:val="28"/>
        <w:keepNext w:val="0"/>
        <w:keepLines w:val="0"/>
        <w:pageBreakBefore w:val="0"/>
        <w:widowControl/>
        <w:numPr>
          <w:ilvl w:val="0"/>
          <w:numId w:val="8"/>
        </w:numPr>
        <w:kinsoku/>
        <w:wordWrap/>
        <w:overflowPunct/>
        <w:topLinePunct w:val="0"/>
        <w:autoSpaceDE w:val="0"/>
        <w:autoSpaceDN w:val="0"/>
        <w:bidi w:val="0"/>
        <w:adjustRightInd/>
        <w:snapToGrid/>
        <w:spacing w:line="360" w:lineRule="auto"/>
        <w:ind w:firstLine="420" w:firstLineChars="200"/>
        <w:textAlignment w:val="auto"/>
        <w:rPr>
          <w:rFonts w:hint="eastAsia"/>
          <w:szCs w:val="22"/>
          <w:lang w:val="en-US" w:eastAsia="zh-CN"/>
        </w:rPr>
      </w:pPr>
      <w:r>
        <w:rPr>
          <w:rFonts w:hint="eastAsia"/>
          <w:szCs w:val="22"/>
          <w:lang w:val="en-US" w:eastAsia="zh-CN"/>
        </w:rPr>
        <w:t>停车场（库）应具有停车场（库）运维体系与组织保障，并能够将本文件中所要求内容融入到原有运维体系中。保障ETC停车服务相关软硬件设施潜在问题有效预防、问题故障及时识别、及时处理、上报与及时归档；</w:t>
      </w:r>
    </w:p>
    <w:p>
      <w:pPr>
        <w:pStyle w:val="28"/>
        <w:keepNext w:val="0"/>
        <w:keepLines w:val="0"/>
        <w:pageBreakBefore w:val="0"/>
        <w:widowControl/>
        <w:numPr>
          <w:ilvl w:val="0"/>
          <w:numId w:val="8"/>
        </w:numPr>
        <w:kinsoku/>
        <w:wordWrap/>
        <w:overflowPunct/>
        <w:topLinePunct w:val="0"/>
        <w:autoSpaceDE w:val="0"/>
        <w:autoSpaceDN w:val="0"/>
        <w:bidi w:val="0"/>
        <w:adjustRightInd/>
        <w:snapToGrid/>
        <w:spacing w:line="360" w:lineRule="auto"/>
        <w:ind w:firstLine="420" w:firstLineChars="200"/>
        <w:textAlignment w:val="auto"/>
        <w:rPr>
          <w:rFonts w:hint="eastAsia"/>
          <w:szCs w:val="22"/>
          <w:lang w:val="en-US" w:eastAsia="zh-CN"/>
        </w:rPr>
      </w:pPr>
      <w:r>
        <w:rPr>
          <w:rFonts w:hint="eastAsia"/>
          <w:szCs w:val="22"/>
          <w:lang w:val="en-US" w:eastAsia="zh-CN"/>
        </w:rPr>
        <w:t>在停车场（库）出入口及通道醒目位置，应设置本停车场（库）服务咨询与投诉联系电话，保障停车客户能够在遇到问题时第一时间联系到本停车场（库）相关人员；</w:t>
      </w:r>
    </w:p>
    <w:p>
      <w:pPr>
        <w:pStyle w:val="28"/>
        <w:keepNext w:val="0"/>
        <w:keepLines w:val="0"/>
        <w:pageBreakBefore w:val="0"/>
        <w:widowControl/>
        <w:numPr>
          <w:ilvl w:val="0"/>
          <w:numId w:val="8"/>
        </w:numPr>
        <w:kinsoku/>
        <w:wordWrap/>
        <w:overflowPunct/>
        <w:topLinePunct w:val="0"/>
        <w:autoSpaceDE w:val="0"/>
        <w:autoSpaceDN w:val="0"/>
        <w:bidi w:val="0"/>
        <w:adjustRightInd/>
        <w:snapToGrid/>
        <w:spacing w:line="360" w:lineRule="auto"/>
        <w:ind w:firstLine="420" w:firstLineChars="200"/>
        <w:textAlignment w:val="auto"/>
        <w:rPr>
          <w:rFonts w:hint="eastAsia"/>
          <w:szCs w:val="22"/>
          <w:lang w:val="en-US" w:eastAsia="zh-CN"/>
        </w:rPr>
      </w:pPr>
      <w:r>
        <w:rPr>
          <w:rFonts w:hint="eastAsia"/>
          <w:szCs w:val="22"/>
          <w:lang w:val="en-US" w:eastAsia="zh-CN"/>
        </w:rPr>
        <w:t>停车场（库）内应保证营业时段内有人值守，负责ETC相关软硬件设施的日监护、维修和统计等工作，并做好交接班记录；</w:t>
      </w:r>
    </w:p>
    <w:p>
      <w:pPr>
        <w:pStyle w:val="28"/>
        <w:keepNext w:val="0"/>
        <w:keepLines w:val="0"/>
        <w:pageBreakBefore w:val="0"/>
        <w:widowControl/>
        <w:numPr>
          <w:ilvl w:val="0"/>
          <w:numId w:val="8"/>
        </w:numPr>
        <w:kinsoku/>
        <w:wordWrap/>
        <w:overflowPunct/>
        <w:topLinePunct w:val="0"/>
        <w:autoSpaceDE w:val="0"/>
        <w:autoSpaceDN w:val="0"/>
        <w:bidi w:val="0"/>
        <w:adjustRightInd/>
        <w:snapToGrid/>
        <w:spacing w:line="360" w:lineRule="auto"/>
        <w:ind w:firstLine="420" w:firstLineChars="200"/>
        <w:textAlignment w:val="auto"/>
        <w:rPr>
          <w:rFonts w:hint="eastAsia"/>
          <w:szCs w:val="22"/>
          <w:lang w:val="en-US" w:eastAsia="zh-CN"/>
        </w:rPr>
      </w:pPr>
      <w:r>
        <w:rPr>
          <w:rFonts w:hint="eastAsia"/>
          <w:szCs w:val="22"/>
          <w:lang w:val="en-US" w:eastAsia="zh-CN"/>
        </w:rPr>
        <w:t>停车场（库）应配备客户服务坐席人员，保证每日营业时段内有人值守，负责对停车场（库）内ETC停车服务咨询与投诉的反馈与处理。做好咨询与投诉问题受理、过程处理、结果反馈和结果归档，并做好交接班记录；</w:t>
      </w:r>
    </w:p>
    <w:p>
      <w:pPr>
        <w:pStyle w:val="28"/>
        <w:keepNext w:val="0"/>
        <w:keepLines w:val="0"/>
        <w:pageBreakBefore w:val="0"/>
        <w:widowControl/>
        <w:numPr>
          <w:ilvl w:val="0"/>
          <w:numId w:val="8"/>
        </w:numPr>
        <w:kinsoku/>
        <w:wordWrap/>
        <w:overflowPunct/>
        <w:topLinePunct w:val="0"/>
        <w:autoSpaceDE w:val="0"/>
        <w:autoSpaceDN w:val="0"/>
        <w:bidi w:val="0"/>
        <w:adjustRightInd/>
        <w:snapToGrid/>
        <w:spacing w:line="360" w:lineRule="auto"/>
        <w:ind w:firstLine="420" w:firstLineChars="200"/>
        <w:textAlignment w:val="auto"/>
        <w:rPr>
          <w:rFonts w:hint="eastAsia"/>
          <w:szCs w:val="22"/>
          <w:lang w:val="en-US" w:eastAsia="zh-CN"/>
        </w:rPr>
      </w:pPr>
      <w:r>
        <w:rPr>
          <w:rFonts w:hint="eastAsia"/>
          <w:szCs w:val="22"/>
          <w:lang w:val="en-US" w:eastAsia="zh-CN"/>
        </w:rPr>
        <w:t>停车场（库）运维与客户坐席人员，若遇到自身因技术或专业性所无法支撑的情况，应向辽宁ETC发行机构提交运维服务申请；</w:t>
      </w:r>
    </w:p>
    <w:p>
      <w:pPr>
        <w:pStyle w:val="28"/>
        <w:keepNext w:val="0"/>
        <w:keepLines w:val="0"/>
        <w:pageBreakBefore w:val="0"/>
        <w:widowControl/>
        <w:numPr>
          <w:ilvl w:val="0"/>
          <w:numId w:val="8"/>
        </w:numPr>
        <w:kinsoku/>
        <w:wordWrap/>
        <w:overflowPunct/>
        <w:topLinePunct w:val="0"/>
        <w:autoSpaceDE w:val="0"/>
        <w:autoSpaceDN w:val="0"/>
        <w:bidi w:val="0"/>
        <w:adjustRightInd/>
        <w:snapToGrid/>
        <w:spacing w:line="360" w:lineRule="auto"/>
        <w:ind w:firstLine="420" w:firstLineChars="200"/>
        <w:textAlignment w:val="auto"/>
        <w:rPr>
          <w:rFonts w:hint="eastAsia"/>
          <w:szCs w:val="22"/>
          <w:lang w:val="en-US" w:eastAsia="zh-CN"/>
        </w:rPr>
      </w:pPr>
      <w:r>
        <w:rPr>
          <w:rFonts w:hint="eastAsia"/>
          <w:szCs w:val="22"/>
          <w:lang w:val="en-US" w:eastAsia="zh-CN"/>
        </w:rPr>
        <w:t>停车场（库）运维人员，需每3个月对知识库内容进行检核与更新，确保运维知识库相关内容的时效性、可参考性；</w:t>
      </w:r>
    </w:p>
    <w:p>
      <w:pPr>
        <w:pStyle w:val="28"/>
        <w:keepNext w:val="0"/>
        <w:keepLines w:val="0"/>
        <w:pageBreakBefore w:val="0"/>
        <w:widowControl/>
        <w:numPr>
          <w:ilvl w:val="0"/>
          <w:numId w:val="8"/>
        </w:numPr>
        <w:kinsoku/>
        <w:wordWrap/>
        <w:overflowPunct/>
        <w:topLinePunct w:val="0"/>
        <w:autoSpaceDE w:val="0"/>
        <w:autoSpaceDN w:val="0"/>
        <w:bidi w:val="0"/>
        <w:adjustRightInd/>
        <w:snapToGrid/>
        <w:spacing w:line="360" w:lineRule="auto"/>
        <w:ind w:firstLine="420" w:firstLineChars="200"/>
        <w:textAlignment w:val="auto"/>
        <w:rPr>
          <w:rFonts w:hint="eastAsia"/>
          <w:szCs w:val="22"/>
          <w:lang w:val="en-US" w:eastAsia="zh-CN"/>
        </w:rPr>
      </w:pPr>
      <w:r>
        <w:rPr>
          <w:rFonts w:hint="eastAsia"/>
          <w:szCs w:val="22"/>
          <w:lang w:val="en-US" w:eastAsia="zh-CN"/>
        </w:rPr>
        <w:t>停车场（库）ETC停车服务相关软硬件设施，必须能够满足进出场车辆识别与支付业务场景下正常使用，系统与设施完好度应不低于98%；</w:t>
      </w:r>
    </w:p>
    <w:p>
      <w:pPr>
        <w:pStyle w:val="28"/>
        <w:keepNext w:val="0"/>
        <w:keepLines w:val="0"/>
        <w:pageBreakBefore w:val="0"/>
        <w:widowControl/>
        <w:numPr>
          <w:ilvl w:val="0"/>
          <w:numId w:val="8"/>
        </w:numPr>
        <w:kinsoku/>
        <w:wordWrap/>
        <w:overflowPunct/>
        <w:topLinePunct w:val="0"/>
        <w:autoSpaceDE w:val="0"/>
        <w:autoSpaceDN w:val="0"/>
        <w:bidi w:val="0"/>
        <w:adjustRightInd/>
        <w:snapToGrid/>
        <w:spacing w:line="360" w:lineRule="auto"/>
        <w:ind w:firstLine="420" w:firstLineChars="200"/>
        <w:textAlignment w:val="auto"/>
        <w:rPr>
          <w:rFonts w:hint="eastAsia"/>
          <w:szCs w:val="22"/>
          <w:lang w:val="en-US" w:eastAsia="zh-CN"/>
        </w:rPr>
      </w:pPr>
      <w:r>
        <w:rPr>
          <w:rFonts w:hint="eastAsia"/>
          <w:szCs w:val="22"/>
          <w:lang w:val="en-US" w:eastAsia="zh-CN"/>
        </w:rPr>
        <w:t>停车场（库）ETC停车服务相关软硬件设施，日常巡检覆盖率应达到100%，巡检记录完整度应达100%；</w:t>
      </w:r>
    </w:p>
    <w:p>
      <w:pPr>
        <w:pStyle w:val="28"/>
        <w:keepNext w:val="0"/>
        <w:keepLines w:val="0"/>
        <w:pageBreakBefore w:val="0"/>
        <w:widowControl/>
        <w:numPr>
          <w:ilvl w:val="0"/>
          <w:numId w:val="8"/>
        </w:numPr>
        <w:kinsoku/>
        <w:wordWrap/>
        <w:overflowPunct/>
        <w:topLinePunct w:val="0"/>
        <w:autoSpaceDE w:val="0"/>
        <w:autoSpaceDN w:val="0"/>
        <w:bidi w:val="0"/>
        <w:adjustRightInd/>
        <w:snapToGrid/>
        <w:spacing w:line="360" w:lineRule="auto"/>
        <w:ind w:firstLine="420" w:firstLineChars="200"/>
        <w:textAlignment w:val="auto"/>
        <w:rPr>
          <w:rFonts w:hint="eastAsia"/>
          <w:szCs w:val="22"/>
          <w:lang w:val="en-US" w:eastAsia="zh-CN"/>
        </w:rPr>
      </w:pPr>
      <w:r>
        <w:rPr>
          <w:rFonts w:hint="eastAsia"/>
          <w:szCs w:val="22"/>
          <w:lang w:val="en-US" w:eastAsia="zh-CN"/>
        </w:rPr>
        <w:t>停车场（库）ETC停车服务相关硬件设施损坏或丢失，需48小时内必须修复；</w:t>
      </w:r>
    </w:p>
    <w:p>
      <w:pPr>
        <w:pStyle w:val="28"/>
        <w:keepNext w:val="0"/>
        <w:keepLines w:val="0"/>
        <w:pageBreakBefore w:val="0"/>
        <w:widowControl/>
        <w:numPr>
          <w:ilvl w:val="0"/>
          <w:numId w:val="8"/>
        </w:numPr>
        <w:kinsoku/>
        <w:wordWrap/>
        <w:overflowPunct/>
        <w:topLinePunct w:val="0"/>
        <w:autoSpaceDE w:val="0"/>
        <w:autoSpaceDN w:val="0"/>
        <w:bidi w:val="0"/>
        <w:adjustRightInd/>
        <w:snapToGrid/>
        <w:spacing w:line="360" w:lineRule="auto"/>
        <w:ind w:firstLine="420" w:firstLineChars="200"/>
        <w:textAlignment w:val="auto"/>
        <w:rPr>
          <w:rFonts w:hint="eastAsia"/>
          <w:szCs w:val="22"/>
          <w:lang w:val="en-US" w:eastAsia="zh-CN"/>
        </w:rPr>
      </w:pPr>
      <w:r>
        <w:rPr>
          <w:rFonts w:hint="eastAsia"/>
          <w:szCs w:val="22"/>
          <w:lang w:val="en-US" w:eastAsia="zh-CN"/>
        </w:rPr>
        <w:t>停车场（库）ETC停车服务相关业务与问题的咨询与投诉，需保障立即受理，咨询问题立即反馈，投诉问题需立即赶赴现场确认，并在4小时以内给予受理回复；</w:t>
      </w:r>
    </w:p>
    <w:p>
      <w:pPr>
        <w:pStyle w:val="28"/>
        <w:keepNext w:val="0"/>
        <w:keepLines w:val="0"/>
        <w:pageBreakBefore w:val="0"/>
        <w:widowControl/>
        <w:numPr>
          <w:ilvl w:val="0"/>
          <w:numId w:val="8"/>
        </w:numPr>
        <w:kinsoku/>
        <w:wordWrap/>
        <w:overflowPunct/>
        <w:topLinePunct w:val="0"/>
        <w:autoSpaceDE w:val="0"/>
        <w:autoSpaceDN w:val="0"/>
        <w:bidi w:val="0"/>
        <w:adjustRightInd/>
        <w:snapToGrid/>
        <w:spacing w:line="360" w:lineRule="auto"/>
        <w:ind w:firstLine="420" w:firstLineChars="200"/>
        <w:textAlignment w:val="auto"/>
        <w:rPr>
          <w:rFonts w:hint="eastAsia"/>
          <w:szCs w:val="22"/>
          <w:lang w:val="en-US" w:eastAsia="zh-CN"/>
        </w:rPr>
      </w:pPr>
      <w:r>
        <w:rPr>
          <w:rFonts w:hint="eastAsia"/>
          <w:szCs w:val="22"/>
          <w:lang w:val="en-US" w:eastAsia="zh-CN"/>
        </w:rPr>
        <w:t>停车场（库）因ETC停车服务相关软硬件异常导致出场车辆受阻，应立即向出场车主解释原因，并指导采用其他支付方式放行车辆，保障场地内车辆出入场畅通，不得发生出入口10分钟及以上拥塞现象。</w:t>
      </w:r>
    </w:p>
    <w:p>
      <w:pPr>
        <w:pStyle w:val="30"/>
        <w:bidi w:val="0"/>
        <w:ind w:left="0" w:leftChars="0" w:firstLine="0" w:firstLineChars="0"/>
        <w:rPr>
          <w:rFonts w:hint="eastAsia"/>
          <w:lang w:val="en-US" w:eastAsia="zh-CN"/>
        </w:rPr>
      </w:pPr>
      <w:bookmarkStart w:id="89" w:name="_Toc10134"/>
      <w:r>
        <w:rPr>
          <w:rFonts w:hint="eastAsia"/>
          <w:lang w:val="en-US" w:eastAsia="zh-CN"/>
        </w:rPr>
        <w:t>停车场（库）ETC VI标识运维</w:t>
      </w:r>
      <w:bookmarkEnd w:id="89"/>
    </w:p>
    <w:p>
      <w:pPr>
        <w:pStyle w:val="31"/>
        <w:bidi w:val="0"/>
        <w:ind w:left="0" w:leftChars="0" w:firstLine="0" w:firstLineChars="0"/>
        <w:rPr>
          <w:rFonts w:hint="eastAsia"/>
          <w:lang w:val="en-US" w:eastAsia="zh-CN"/>
        </w:rPr>
      </w:pPr>
      <w:bookmarkStart w:id="90" w:name="_Toc24489"/>
      <w:r>
        <w:rPr>
          <w:rFonts w:hint="eastAsia"/>
          <w:lang w:val="en-US" w:eastAsia="zh-CN"/>
        </w:rPr>
        <w:t>目的</w:t>
      </w:r>
      <w:bookmarkEnd w:id="90"/>
    </w:p>
    <w:p>
      <w:pPr>
        <w:pStyle w:val="28"/>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firstLine="420" w:firstLineChars="200"/>
        <w:textAlignment w:val="auto"/>
        <w:rPr>
          <w:rFonts w:hint="eastAsia"/>
          <w:szCs w:val="22"/>
          <w:lang w:val="en-US" w:eastAsia="zh-CN"/>
        </w:rPr>
      </w:pPr>
      <w:r>
        <w:rPr>
          <w:rFonts w:hint="eastAsia"/>
          <w:szCs w:val="22"/>
          <w:lang w:val="en-US" w:eastAsia="zh-CN"/>
        </w:rPr>
        <w:t>保障停车场（库）ETC VI标识的有效性，能够起到对进出场车辆车主给予醒目、明确和清晰的ETC停车服务告知与出入场ETC支付车道引导作用。</w:t>
      </w:r>
    </w:p>
    <w:p>
      <w:pPr>
        <w:pStyle w:val="31"/>
        <w:bidi w:val="0"/>
        <w:ind w:left="0" w:leftChars="0" w:firstLine="0" w:firstLineChars="0"/>
        <w:rPr>
          <w:rFonts w:hint="eastAsia"/>
          <w:lang w:val="en-US" w:eastAsia="zh-CN"/>
        </w:rPr>
      </w:pPr>
      <w:bookmarkStart w:id="91" w:name="_Toc7326"/>
      <w:r>
        <w:rPr>
          <w:rFonts w:hint="eastAsia"/>
          <w:lang w:val="en-US" w:eastAsia="zh-CN"/>
        </w:rPr>
        <w:t>范围</w:t>
      </w:r>
      <w:bookmarkEnd w:id="91"/>
    </w:p>
    <w:p>
      <w:pPr>
        <w:pStyle w:val="28"/>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firstLine="420" w:firstLineChars="200"/>
        <w:textAlignment w:val="auto"/>
        <w:rPr>
          <w:rFonts w:hint="eastAsia"/>
          <w:szCs w:val="22"/>
          <w:lang w:val="en-US" w:eastAsia="zh-CN"/>
        </w:rPr>
      </w:pPr>
      <w:r>
        <w:rPr>
          <w:rFonts w:hint="eastAsia"/>
          <w:szCs w:val="22"/>
          <w:lang w:val="en-US" w:eastAsia="zh-CN"/>
        </w:rPr>
        <w:t>对停车场（库）内ETC VI标识设施的有效性与完整性检查、设施维护与问题排查处理。</w:t>
      </w:r>
    </w:p>
    <w:p>
      <w:pPr>
        <w:pStyle w:val="28"/>
        <w:keepNext w:val="0"/>
        <w:keepLines w:val="0"/>
        <w:pageBreakBefore w:val="0"/>
        <w:widowControl/>
        <w:numPr>
          <w:ilvl w:val="0"/>
          <w:numId w:val="9"/>
        </w:numPr>
        <w:kinsoku/>
        <w:wordWrap/>
        <w:overflowPunct/>
        <w:topLinePunct w:val="0"/>
        <w:autoSpaceDE w:val="0"/>
        <w:autoSpaceDN w:val="0"/>
        <w:bidi w:val="0"/>
        <w:adjustRightInd/>
        <w:snapToGrid/>
        <w:spacing w:line="360" w:lineRule="auto"/>
        <w:ind w:firstLine="420" w:firstLineChars="200"/>
        <w:textAlignment w:val="auto"/>
        <w:rPr>
          <w:rFonts w:hint="eastAsia"/>
          <w:szCs w:val="22"/>
          <w:lang w:val="en-US" w:eastAsia="zh-CN"/>
        </w:rPr>
      </w:pPr>
      <w:r>
        <w:rPr>
          <w:rFonts w:hint="eastAsia"/>
          <w:szCs w:val="22"/>
          <w:lang w:val="en-US" w:eastAsia="zh-CN"/>
        </w:rPr>
        <w:t>有效性与完整性检查，重点项目包括：停车场（库）内标识方案选型与实施、停车场（库）内标识部署完整度及标识设施有效性；</w:t>
      </w:r>
    </w:p>
    <w:p>
      <w:pPr>
        <w:pStyle w:val="28"/>
        <w:keepNext w:val="0"/>
        <w:keepLines w:val="0"/>
        <w:pageBreakBefore w:val="0"/>
        <w:widowControl/>
        <w:numPr>
          <w:ilvl w:val="0"/>
          <w:numId w:val="9"/>
        </w:numPr>
        <w:kinsoku/>
        <w:wordWrap/>
        <w:overflowPunct/>
        <w:topLinePunct w:val="0"/>
        <w:autoSpaceDE w:val="0"/>
        <w:autoSpaceDN w:val="0"/>
        <w:bidi w:val="0"/>
        <w:adjustRightInd/>
        <w:snapToGrid/>
        <w:spacing w:line="360" w:lineRule="auto"/>
        <w:ind w:firstLine="420" w:firstLineChars="200"/>
        <w:textAlignment w:val="auto"/>
        <w:rPr>
          <w:rFonts w:hint="eastAsia"/>
          <w:szCs w:val="22"/>
          <w:lang w:val="en-US" w:eastAsia="zh-CN"/>
        </w:rPr>
      </w:pPr>
      <w:r>
        <w:rPr>
          <w:rFonts w:hint="eastAsia"/>
          <w:szCs w:val="22"/>
          <w:lang w:val="en-US" w:eastAsia="zh-CN"/>
        </w:rPr>
        <w:t>日常维护与问题排查，重点项目包括：标识巡检、标识清洁及标识维修或更换；</w:t>
      </w:r>
    </w:p>
    <w:p>
      <w:pPr>
        <w:pStyle w:val="28"/>
        <w:keepNext w:val="0"/>
        <w:keepLines w:val="0"/>
        <w:pageBreakBefore w:val="0"/>
        <w:widowControl/>
        <w:numPr>
          <w:ilvl w:val="0"/>
          <w:numId w:val="9"/>
        </w:numPr>
        <w:kinsoku/>
        <w:wordWrap/>
        <w:overflowPunct/>
        <w:topLinePunct w:val="0"/>
        <w:autoSpaceDE w:val="0"/>
        <w:autoSpaceDN w:val="0"/>
        <w:bidi w:val="0"/>
        <w:adjustRightInd/>
        <w:snapToGrid/>
        <w:spacing w:line="360" w:lineRule="auto"/>
        <w:ind w:firstLine="420" w:firstLineChars="200"/>
        <w:textAlignment w:val="auto"/>
        <w:rPr>
          <w:rFonts w:hint="eastAsia"/>
          <w:szCs w:val="22"/>
          <w:lang w:val="en-US" w:eastAsia="zh-CN"/>
        </w:rPr>
      </w:pPr>
      <w:r>
        <w:rPr>
          <w:rFonts w:hint="eastAsia"/>
          <w:szCs w:val="22"/>
          <w:lang w:val="en-US" w:eastAsia="zh-CN"/>
        </w:rPr>
        <w:t>运维工作过程记录与归档。</w:t>
      </w:r>
    </w:p>
    <w:p>
      <w:pPr>
        <w:pStyle w:val="31"/>
        <w:bidi w:val="0"/>
        <w:ind w:left="0" w:leftChars="0" w:firstLine="0" w:firstLineChars="0"/>
        <w:rPr>
          <w:rFonts w:hint="eastAsia"/>
          <w:lang w:val="en-US" w:eastAsia="zh-CN"/>
        </w:rPr>
      </w:pPr>
      <w:bookmarkStart w:id="92" w:name="_Toc24870"/>
      <w:r>
        <w:rPr>
          <w:rFonts w:hint="eastAsia"/>
          <w:lang w:val="en-US" w:eastAsia="zh-CN"/>
        </w:rPr>
        <w:t>要求</w:t>
      </w:r>
      <w:bookmarkEnd w:id="92"/>
    </w:p>
    <w:p>
      <w:pPr>
        <w:pStyle w:val="28"/>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firstLine="420" w:firstLineChars="200"/>
        <w:textAlignment w:val="auto"/>
        <w:rPr>
          <w:rFonts w:hint="default"/>
          <w:szCs w:val="22"/>
          <w:lang w:val="en-US" w:eastAsia="zh-CN"/>
        </w:rPr>
      </w:pPr>
      <w:r>
        <w:rPr>
          <w:rFonts w:hint="eastAsia"/>
          <w:szCs w:val="22"/>
          <w:lang w:val="en-US" w:eastAsia="zh-CN"/>
        </w:rPr>
        <w:t>停车场（库）ETC VI标识运维应满足下列要求。</w:t>
      </w:r>
    </w:p>
    <w:p>
      <w:pPr>
        <w:pStyle w:val="28"/>
        <w:keepNext w:val="0"/>
        <w:keepLines w:val="0"/>
        <w:pageBreakBefore w:val="0"/>
        <w:widowControl/>
        <w:numPr>
          <w:ilvl w:val="0"/>
          <w:numId w:val="10"/>
        </w:numPr>
        <w:kinsoku/>
        <w:wordWrap/>
        <w:overflowPunct/>
        <w:topLinePunct w:val="0"/>
        <w:autoSpaceDE w:val="0"/>
        <w:autoSpaceDN w:val="0"/>
        <w:bidi w:val="0"/>
        <w:adjustRightInd/>
        <w:snapToGrid/>
        <w:spacing w:line="360" w:lineRule="auto"/>
        <w:ind w:firstLine="420" w:firstLineChars="200"/>
        <w:textAlignment w:val="auto"/>
        <w:rPr>
          <w:rFonts w:hint="eastAsia"/>
          <w:szCs w:val="22"/>
          <w:lang w:val="en-US" w:eastAsia="zh-CN"/>
        </w:rPr>
      </w:pPr>
      <w:r>
        <w:rPr>
          <w:rFonts w:hint="eastAsia"/>
          <w:szCs w:val="22"/>
          <w:lang w:val="en-US" w:eastAsia="zh-CN"/>
        </w:rPr>
        <w:t>停车场（库）ETC VI标识方案选择，应根据自身场地进出口数量与尺寸、现有设施部署及投入成本预算等因素，参考《ETC智慧停车场 视觉识别要求》的要求选择与之匹配的ETC VI标识方案进行实施。选择标识制作尺寸、材质、标识形态与设置位置，进行ETC VI标识部署；</w:t>
      </w:r>
    </w:p>
    <w:p>
      <w:pPr>
        <w:pStyle w:val="28"/>
        <w:keepNext w:val="0"/>
        <w:keepLines w:val="0"/>
        <w:pageBreakBefore w:val="0"/>
        <w:widowControl/>
        <w:numPr>
          <w:ilvl w:val="0"/>
          <w:numId w:val="10"/>
        </w:numPr>
        <w:kinsoku/>
        <w:wordWrap/>
        <w:overflowPunct/>
        <w:topLinePunct w:val="0"/>
        <w:autoSpaceDE w:val="0"/>
        <w:autoSpaceDN w:val="0"/>
        <w:bidi w:val="0"/>
        <w:adjustRightInd/>
        <w:snapToGrid/>
        <w:spacing w:line="360" w:lineRule="auto"/>
        <w:ind w:firstLine="420" w:firstLineChars="200"/>
        <w:textAlignment w:val="auto"/>
        <w:rPr>
          <w:rFonts w:hint="eastAsia"/>
          <w:szCs w:val="22"/>
          <w:lang w:val="en-US" w:eastAsia="zh-CN"/>
        </w:rPr>
      </w:pPr>
      <w:r>
        <w:rPr>
          <w:rFonts w:hint="eastAsia"/>
          <w:szCs w:val="22"/>
          <w:lang w:val="en-US" w:eastAsia="zh-CN"/>
        </w:rPr>
        <w:t>停车场（库）ETC VI标识方案实施，应保障停车场（库）周边与内部交通通行安全，不影响车辆驾驶者行车视线为首要考虑因素，其次考虑ETC VI标识对进出车辆司机视觉引导效果的方案选型；</w:t>
      </w:r>
    </w:p>
    <w:p>
      <w:pPr>
        <w:pStyle w:val="28"/>
        <w:keepNext w:val="0"/>
        <w:keepLines w:val="0"/>
        <w:pageBreakBefore w:val="0"/>
        <w:widowControl/>
        <w:numPr>
          <w:ilvl w:val="0"/>
          <w:numId w:val="10"/>
        </w:numPr>
        <w:kinsoku/>
        <w:wordWrap/>
        <w:overflowPunct/>
        <w:topLinePunct w:val="0"/>
        <w:autoSpaceDE w:val="0"/>
        <w:autoSpaceDN w:val="0"/>
        <w:bidi w:val="0"/>
        <w:adjustRightInd/>
        <w:snapToGrid/>
        <w:spacing w:line="360" w:lineRule="auto"/>
        <w:ind w:firstLine="420" w:firstLineChars="200"/>
        <w:textAlignment w:val="auto"/>
        <w:rPr>
          <w:rFonts w:hint="eastAsia"/>
          <w:szCs w:val="22"/>
          <w:lang w:val="en-US" w:eastAsia="zh-CN"/>
        </w:rPr>
      </w:pPr>
      <w:r>
        <w:rPr>
          <w:rFonts w:hint="eastAsia"/>
          <w:szCs w:val="22"/>
          <w:lang w:val="en-US" w:eastAsia="zh-CN"/>
        </w:rPr>
        <w:t>若停车场（库）出入口场地实际情况无法支持《ETC智慧停车场 视觉识别要求》的要求进行ETC VI标识部署，需上报辽宁高速ETC智慧停车场主管部门，共同确认选择性规范执行内容；</w:t>
      </w:r>
    </w:p>
    <w:p>
      <w:pPr>
        <w:pStyle w:val="28"/>
        <w:keepNext w:val="0"/>
        <w:keepLines w:val="0"/>
        <w:pageBreakBefore w:val="0"/>
        <w:widowControl/>
        <w:numPr>
          <w:ilvl w:val="0"/>
          <w:numId w:val="10"/>
        </w:numPr>
        <w:kinsoku/>
        <w:wordWrap/>
        <w:overflowPunct/>
        <w:topLinePunct w:val="0"/>
        <w:autoSpaceDE w:val="0"/>
        <w:autoSpaceDN w:val="0"/>
        <w:bidi w:val="0"/>
        <w:adjustRightInd/>
        <w:snapToGrid/>
        <w:spacing w:line="360" w:lineRule="auto"/>
        <w:ind w:firstLine="420" w:firstLineChars="200"/>
        <w:textAlignment w:val="auto"/>
        <w:rPr>
          <w:rFonts w:hint="eastAsia"/>
          <w:szCs w:val="22"/>
          <w:lang w:val="en-US" w:eastAsia="zh-CN"/>
        </w:rPr>
      </w:pPr>
      <w:r>
        <w:rPr>
          <w:rFonts w:hint="eastAsia"/>
          <w:szCs w:val="22"/>
          <w:lang w:val="en-US" w:eastAsia="zh-CN"/>
        </w:rPr>
        <w:t>人员培训，要求停车场（库）运维人员应按时参加ETC停车服务相关软硬件设施的运维培训学习，并完成培训结业考试。在考试成绩通过后方可上岗，否则将持续进行下一轮培训学习；</w:t>
      </w:r>
    </w:p>
    <w:p>
      <w:pPr>
        <w:pStyle w:val="28"/>
        <w:keepNext w:val="0"/>
        <w:keepLines w:val="0"/>
        <w:pageBreakBefore w:val="0"/>
        <w:widowControl/>
        <w:numPr>
          <w:ilvl w:val="0"/>
          <w:numId w:val="10"/>
        </w:numPr>
        <w:kinsoku/>
        <w:wordWrap/>
        <w:overflowPunct/>
        <w:topLinePunct w:val="0"/>
        <w:autoSpaceDE w:val="0"/>
        <w:autoSpaceDN w:val="0"/>
        <w:bidi w:val="0"/>
        <w:adjustRightInd/>
        <w:snapToGrid/>
        <w:spacing w:line="360" w:lineRule="auto"/>
        <w:ind w:firstLine="420" w:firstLineChars="200"/>
        <w:textAlignment w:val="auto"/>
        <w:rPr>
          <w:rFonts w:hint="eastAsia"/>
          <w:szCs w:val="22"/>
          <w:lang w:val="en-US" w:eastAsia="zh-CN"/>
        </w:rPr>
      </w:pPr>
      <w:r>
        <w:rPr>
          <w:rFonts w:hint="eastAsia"/>
          <w:szCs w:val="22"/>
          <w:lang w:val="en-US" w:eastAsia="zh-CN"/>
        </w:rPr>
        <w:t>每日应对场地内ETC VI标识设施进行清洁工作，保障标识无污物、无遮挡及无位移和标识内容清晰可见；</w:t>
      </w:r>
    </w:p>
    <w:p>
      <w:pPr>
        <w:pStyle w:val="28"/>
        <w:keepNext w:val="0"/>
        <w:keepLines w:val="0"/>
        <w:pageBreakBefore w:val="0"/>
        <w:widowControl/>
        <w:numPr>
          <w:ilvl w:val="0"/>
          <w:numId w:val="10"/>
        </w:numPr>
        <w:kinsoku/>
        <w:wordWrap/>
        <w:overflowPunct/>
        <w:topLinePunct w:val="0"/>
        <w:autoSpaceDE w:val="0"/>
        <w:autoSpaceDN w:val="0"/>
        <w:bidi w:val="0"/>
        <w:adjustRightInd/>
        <w:snapToGrid/>
        <w:spacing w:line="360" w:lineRule="auto"/>
        <w:ind w:firstLine="420" w:firstLineChars="200"/>
        <w:textAlignment w:val="auto"/>
        <w:rPr>
          <w:rFonts w:hint="eastAsia"/>
          <w:szCs w:val="22"/>
          <w:lang w:val="en-US" w:eastAsia="zh-CN"/>
        </w:rPr>
      </w:pPr>
      <w:r>
        <w:rPr>
          <w:rFonts w:hint="eastAsia"/>
          <w:szCs w:val="22"/>
          <w:lang w:val="en-US" w:eastAsia="zh-CN"/>
        </w:rPr>
        <w:t>每日应对场地内ETC VI标识设施进行有效性巡检，日常维护应符合</w:t>
      </w:r>
      <w:r>
        <w:rPr>
          <w:rFonts w:hint="eastAsia"/>
          <w:szCs w:val="22"/>
          <w:highlight w:val="none"/>
          <w:lang w:val="en-US" w:eastAsia="zh-CN"/>
        </w:rPr>
        <w:t>GB 16179</w:t>
      </w:r>
      <w:r>
        <w:rPr>
          <w:rFonts w:hint="eastAsia"/>
          <w:szCs w:val="22"/>
          <w:lang w:val="en-US" w:eastAsia="zh-CN"/>
        </w:rPr>
        <w:t>的规定，标识出现如下情况之一应及时修正、更换或重新设置：破坏或丢失、严重变形、褪色和照明灯具损坏；</w:t>
      </w:r>
    </w:p>
    <w:p>
      <w:pPr>
        <w:pStyle w:val="28"/>
        <w:keepNext w:val="0"/>
        <w:keepLines w:val="0"/>
        <w:pageBreakBefore w:val="0"/>
        <w:widowControl/>
        <w:numPr>
          <w:ilvl w:val="0"/>
          <w:numId w:val="10"/>
        </w:numPr>
        <w:kinsoku/>
        <w:wordWrap/>
        <w:overflowPunct/>
        <w:topLinePunct w:val="0"/>
        <w:autoSpaceDE w:val="0"/>
        <w:autoSpaceDN w:val="0"/>
        <w:bidi w:val="0"/>
        <w:adjustRightInd/>
        <w:snapToGrid/>
        <w:spacing w:line="360" w:lineRule="auto"/>
        <w:ind w:firstLine="420" w:firstLineChars="200"/>
        <w:textAlignment w:val="auto"/>
        <w:rPr>
          <w:rFonts w:hint="eastAsia"/>
          <w:szCs w:val="22"/>
          <w:lang w:val="en-US" w:eastAsia="zh-CN"/>
        </w:rPr>
      </w:pPr>
      <w:r>
        <w:rPr>
          <w:rFonts w:hint="eastAsia"/>
          <w:szCs w:val="22"/>
          <w:lang w:val="en-US" w:eastAsia="zh-CN"/>
        </w:rPr>
        <w:t>停车场（库）若发生改造或扩建，应需按照《ETC智慧停车场 视觉识别要求》的要求及时完善与补充场地内ETC VI标识设施，并同时上报辽宁ETC发行机构进行ETC VI实施备案登记；</w:t>
      </w:r>
    </w:p>
    <w:p>
      <w:pPr>
        <w:pStyle w:val="28"/>
        <w:keepNext w:val="0"/>
        <w:keepLines w:val="0"/>
        <w:pageBreakBefore w:val="0"/>
        <w:widowControl/>
        <w:numPr>
          <w:ilvl w:val="0"/>
          <w:numId w:val="10"/>
        </w:numPr>
        <w:kinsoku/>
        <w:wordWrap/>
        <w:overflowPunct/>
        <w:topLinePunct w:val="0"/>
        <w:autoSpaceDE w:val="0"/>
        <w:autoSpaceDN w:val="0"/>
        <w:bidi w:val="0"/>
        <w:adjustRightInd/>
        <w:snapToGrid/>
        <w:spacing w:line="360" w:lineRule="auto"/>
        <w:ind w:firstLine="420" w:firstLineChars="200"/>
        <w:textAlignment w:val="auto"/>
        <w:rPr>
          <w:rFonts w:hint="eastAsia"/>
          <w:szCs w:val="22"/>
          <w:lang w:val="en-US" w:eastAsia="zh-CN"/>
        </w:rPr>
      </w:pPr>
      <w:r>
        <w:rPr>
          <w:rFonts w:hint="eastAsia"/>
          <w:szCs w:val="22"/>
          <w:lang w:val="en-US" w:eastAsia="zh-CN"/>
        </w:rPr>
        <w:t>每日应对场地内ETC VI标识运维工作进行工作记录，特别是对潜在问题识别、问题处理、问题应急及问题状态跟踪做好相关记录，以便用于后续问题回溯及运维知识库更新使用。</w:t>
      </w:r>
    </w:p>
    <w:p>
      <w:pPr>
        <w:pStyle w:val="30"/>
        <w:bidi w:val="0"/>
        <w:ind w:left="0" w:leftChars="0" w:firstLine="0" w:firstLineChars="0"/>
        <w:rPr>
          <w:rFonts w:hint="eastAsia"/>
          <w:lang w:val="en-US" w:eastAsia="zh-CN"/>
        </w:rPr>
      </w:pPr>
      <w:bookmarkStart w:id="93" w:name="_Toc24715"/>
      <w:r>
        <w:rPr>
          <w:rFonts w:hint="eastAsia"/>
          <w:lang w:val="en-US" w:eastAsia="zh-CN"/>
        </w:rPr>
        <w:t>停车场（库）ETC天线设备运维</w:t>
      </w:r>
      <w:bookmarkEnd w:id="93"/>
    </w:p>
    <w:p>
      <w:pPr>
        <w:pStyle w:val="31"/>
        <w:bidi w:val="0"/>
        <w:ind w:left="0" w:leftChars="0" w:firstLine="0" w:firstLineChars="0"/>
        <w:rPr>
          <w:rFonts w:hint="eastAsia"/>
          <w:lang w:val="en-US" w:eastAsia="zh-CN"/>
        </w:rPr>
      </w:pPr>
      <w:bookmarkStart w:id="94" w:name="_Toc32209"/>
      <w:r>
        <w:rPr>
          <w:rFonts w:hint="eastAsia"/>
          <w:lang w:val="en-US" w:eastAsia="zh-CN"/>
        </w:rPr>
        <w:t>目的</w:t>
      </w:r>
      <w:bookmarkEnd w:id="94"/>
    </w:p>
    <w:p>
      <w:pPr>
        <w:pStyle w:val="28"/>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firstLine="420" w:firstLineChars="200"/>
        <w:textAlignment w:val="auto"/>
        <w:rPr>
          <w:rFonts w:hint="eastAsia"/>
          <w:szCs w:val="22"/>
          <w:lang w:val="en-US" w:eastAsia="zh-CN"/>
        </w:rPr>
      </w:pPr>
      <w:r>
        <w:rPr>
          <w:rFonts w:hint="eastAsia"/>
          <w:szCs w:val="22"/>
          <w:lang w:val="en-US" w:eastAsia="zh-CN"/>
        </w:rPr>
        <w:t>保障停车场（库）ETC天线设备能够稳定正常工作，确保停车场（库）依赖ETC天线进行的车辆识别与费用支付业务正常运行。</w:t>
      </w:r>
    </w:p>
    <w:p>
      <w:pPr>
        <w:pStyle w:val="31"/>
        <w:bidi w:val="0"/>
        <w:ind w:left="0" w:leftChars="0" w:firstLine="0" w:firstLineChars="0"/>
        <w:rPr>
          <w:rFonts w:hint="eastAsia"/>
          <w:lang w:val="en-US" w:eastAsia="zh-CN"/>
        </w:rPr>
      </w:pPr>
      <w:bookmarkStart w:id="95" w:name="_Toc3149"/>
      <w:r>
        <w:rPr>
          <w:rFonts w:hint="eastAsia"/>
          <w:lang w:val="en-US" w:eastAsia="zh-CN"/>
        </w:rPr>
        <w:t>范围</w:t>
      </w:r>
      <w:bookmarkEnd w:id="95"/>
    </w:p>
    <w:p>
      <w:pPr>
        <w:pStyle w:val="28"/>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firstLine="420" w:firstLineChars="200"/>
        <w:textAlignment w:val="auto"/>
        <w:rPr>
          <w:rFonts w:hint="eastAsia"/>
          <w:szCs w:val="22"/>
          <w:lang w:val="en-US" w:eastAsia="zh-CN"/>
        </w:rPr>
      </w:pPr>
      <w:r>
        <w:rPr>
          <w:rFonts w:hint="eastAsia"/>
          <w:szCs w:val="22"/>
          <w:lang w:val="en-US" w:eastAsia="zh-CN"/>
        </w:rPr>
        <w:t>对停车场（库）内ETC天线设备有效性检查、日常维护与问题排查处理。</w:t>
      </w:r>
    </w:p>
    <w:p>
      <w:pPr>
        <w:pStyle w:val="28"/>
        <w:keepNext w:val="0"/>
        <w:keepLines w:val="0"/>
        <w:pageBreakBefore w:val="0"/>
        <w:widowControl/>
        <w:numPr>
          <w:ilvl w:val="0"/>
          <w:numId w:val="11"/>
        </w:numPr>
        <w:kinsoku/>
        <w:wordWrap/>
        <w:overflowPunct/>
        <w:topLinePunct w:val="0"/>
        <w:autoSpaceDE w:val="0"/>
        <w:autoSpaceDN w:val="0"/>
        <w:bidi w:val="0"/>
        <w:adjustRightInd/>
        <w:snapToGrid/>
        <w:spacing w:line="360" w:lineRule="auto"/>
        <w:ind w:firstLine="420" w:firstLineChars="200"/>
        <w:textAlignment w:val="auto"/>
        <w:rPr>
          <w:rFonts w:hint="eastAsia"/>
          <w:szCs w:val="22"/>
          <w:lang w:val="en-US" w:eastAsia="zh-CN"/>
        </w:rPr>
      </w:pPr>
      <w:r>
        <w:rPr>
          <w:rFonts w:hint="eastAsia"/>
          <w:szCs w:val="22"/>
          <w:lang w:val="en-US" w:eastAsia="zh-CN"/>
        </w:rPr>
        <w:t>有效性检查，重点项目包括：设备固定、线材连接、工作环境、设备工况及数据交互；</w:t>
      </w:r>
    </w:p>
    <w:p>
      <w:pPr>
        <w:pStyle w:val="28"/>
        <w:keepNext w:val="0"/>
        <w:keepLines w:val="0"/>
        <w:pageBreakBefore w:val="0"/>
        <w:widowControl/>
        <w:numPr>
          <w:ilvl w:val="0"/>
          <w:numId w:val="11"/>
        </w:numPr>
        <w:kinsoku/>
        <w:wordWrap/>
        <w:overflowPunct/>
        <w:topLinePunct w:val="0"/>
        <w:autoSpaceDE w:val="0"/>
        <w:autoSpaceDN w:val="0"/>
        <w:bidi w:val="0"/>
        <w:adjustRightInd/>
        <w:snapToGrid/>
        <w:spacing w:line="360" w:lineRule="auto"/>
        <w:ind w:firstLine="420" w:firstLineChars="200"/>
        <w:textAlignment w:val="auto"/>
        <w:rPr>
          <w:rFonts w:hint="eastAsia"/>
          <w:szCs w:val="22"/>
          <w:lang w:val="en-US" w:eastAsia="zh-CN"/>
        </w:rPr>
      </w:pPr>
      <w:r>
        <w:rPr>
          <w:rFonts w:hint="eastAsia"/>
          <w:szCs w:val="22"/>
          <w:lang w:val="en-US" w:eastAsia="zh-CN"/>
        </w:rPr>
        <w:t>问题排查处，重点项目包括：设备报警、功能异常及配件与设备更换；</w:t>
      </w:r>
    </w:p>
    <w:p>
      <w:pPr>
        <w:pStyle w:val="28"/>
        <w:keepNext w:val="0"/>
        <w:keepLines w:val="0"/>
        <w:pageBreakBefore w:val="0"/>
        <w:widowControl/>
        <w:numPr>
          <w:ilvl w:val="0"/>
          <w:numId w:val="11"/>
        </w:numPr>
        <w:kinsoku/>
        <w:wordWrap/>
        <w:overflowPunct/>
        <w:topLinePunct w:val="0"/>
        <w:autoSpaceDE w:val="0"/>
        <w:autoSpaceDN w:val="0"/>
        <w:bidi w:val="0"/>
        <w:adjustRightInd/>
        <w:snapToGrid/>
        <w:spacing w:line="360" w:lineRule="auto"/>
        <w:ind w:firstLine="420" w:firstLineChars="200"/>
        <w:textAlignment w:val="auto"/>
        <w:rPr>
          <w:rFonts w:hint="eastAsia"/>
          <w:szCs w:val="22"/>
          <w:lang w:val="en-US" w:eastAsia="zh-CN"/>
        </w:rPr>
      </w:pPr>
      <w:r>
        <w:rPr>
          <w:rFonts w:hint="eastAsia"/>
          <w:szCs w:val="22"/>
          <w:lang w:val="en-US" w:eastAsia="zh-CN"/>
        </w:rPr>
        <w:t>运维工作过程记录与归档。</w:t>
      </w:r>
    </w:p>
    <w:p>
      <w:pPr>
        <w:pStyle w:val="31"/>
        <w:bidi w:val="0"/>
        <w:ind w:left="0" w:leftChars="0" w:firstLine="0" w:firstLineChars="0"/>
        <w:rPr>
          <w:rFonts w:hint="eastAsia"/>
          <w:lang w:val="en-US" w:eastAsia="zh-CN"/>
        </w:rPr>
      </w:pPr>
      <w:bookmarkStart w:id="96" w:name="_Toc17377"/>
      <w:r>
        <w:rPr>
          <w:rFonts w:hint="eastAsia"/>
          <w:lang w:val="en-US" w:eastAsia="zh-CN"/>
        </w:rPr>
        <w:t>要求</w:t>
      </w:r>
      <w:bookmarkEnd w:id="96"/>
    </w:p>
    <w:p>
      <w:pPr>
        <w:pStyle w:val="28"/>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firstLine="420" w:firstLineChars="200"/>
        <w:textAlignment w:val="auto"/>
        <w:rPr>
          <w:rFonts w:hint="default"/>
          <w:szCs w:val="22"/>
          <w:lang w:val="en-US" w:eastAsia="zh-CN"/>
        </w:rPr>
      </w:pPr>
      <w:r>
        <w:rPr>
          <w:rFonts w:hint="eastAsia"/>
          <w:szCs w:val="22"/>
          <w:lang w:val="en-US" w:eastAsia="zh-CN"/>
        </w:rPr>
        <w:t>停车场（库）ETC 天线设备运维应满足下列要求。</w:t>
      </w:r>
    </w:p>
    <w:p>
      <w:pPr>
        <w:pStyle w:val="28"/>
        <w:keepNext w:val="0"/>
        <w:keepLines w:val="0"/>
        <w:pageBreakBefore w:val="0"/>
        <w:widowControl/>
        <w:numPr>
          <w:ilvl w:val="0"/>
          <w:numId w:val="12"/>
        </w:numPr>
        <w:kinsoku/>
        <w:wordWrap/>
        <w:overflowPunct/>
        <w:topLinePunct w:val="0"/>
        <w:autoSpaceDE w:val="0"/>
        <w:autoSpaceDN w:val="0"/>
        <w:bidi w:val="0"/>
        <w:adjustRightInd/>
        <w:snapToGrid/>
        <w:spacing w:line="360" w:lineRule="auto"/>
        <w:ind w:firstLine="420" w:firstLineChars="200"/>
        <w:textAlignment w:val="auto"/>
        <w:rPr>
          <w:rFonts w:hint="eastAsia"/>
          <w:szCs w:val="22"/>
          <w:lang w:val="en-US" w:eastAsia="zh-CN"/>
        </w:rPr>
      </w:pPr>
      <w:r>
        <w:rPr>
          <w:rFonts w:hint="eastAsia"/>
          <w:szCs w:val="22"/>
          <w:lang w:val="en-US" w:eastAsia="zh-CN"/>
        </w:rPr>
        <w:t>人员培训，要求停车场（库）运维人员应按时参加ETC停车服务相关软硬件设施的工作原理培训、日常操作知识培训及日常典型故障确认与排除培训学习，并完成培训结业考试。在考试成绩通过后方可上岗，否则将持续进行下一轮培训学习；</w:t>
      </w:r>
    </w:p>
    <w:p>
      <w:pPr>
        <w:pStyle w:val="28"/>
        <w:keepNext w:val="0"/>
        <w:keepLines w:val="0"/>
        <w:pageBreakBefore w:val="0"/>
        <w:widowControl/>
        <w:numPr>
          <w:ilvl w:val="0"/>
          <w:numId w:val="12"/>
        </w:numPr>
        <w:kinsoku/>
        <w:wordWrap/>
        <w:overflowPunct/>
        <w:topLinePunct w:val="0"/>
        <w:autoSpaceDE w:val="0"/>
        <w:autoSpaceDN w:val="0"/>
        <w:bidi w:val="0"/>
        <w:adjustRightInd/>
        <w:snapToGrid/>
        <w:spacing w:line="360" w:lineRule="auto"/>
        <w:ind w:firstLine="420" w:firstLineChars="200"/>
        <w:textAlignment w:val="auto"/>
        <w:rPr>
          <w:rFonts w:hint="eastAsia"/>
          <w:szCs w:val="22"/>
          <w:lang w:val="en-US" w:eastAsia="zh-CN"/>
        </w:rPr>
      </w:pPr>
      <w:r>
        <w:rPr>
          <w:rFonts w:hint="eastAsia"/>
          <w:szCs w:val="22"/>
          <w:lang w:val="en-US" w:eastAsia="zh-CN"/>
        </w:rPr>
        <w:t>入场ETC天线设施，应满足《ETC智慧停车场 ETC天线设备要求》中所规定的各项指标要求；</w:t>
      </w:r>
    </w:p>
    <w:p>
      <w:pPr>
        <w:pStyle w:val="28"/>
        <w:keepNext w:val="0"/>
        <w:keepLines w:val="0"/>
        <w:pageBreakBefore w:val="0"/>
        <w:widowControl/>
        <w:numPr>
          <w:ilvl w:val="0"/>
          <w:numId w:val="12"/>
        </w:numPr>
        <w:kinsoku/>
        <w:wordWrap/>
        <w:overflowPunct/>
        <w:topLinePunct w:val="0"/>
        <w:autoSpaceDE w:val="0"/>
        <w:autoSpaceDN w:val="0"/>
        <w:bidi w:val="0"/>
        <w:adjustRightInd/>
        <w:snapToGrid/>
        <w:spacing w:line="360" w:lineRule="auto"/>
        <w:ind w:firstLine="420" w:firstLineChars="200"/>
        <w:textAlignment w:val="auto"/>
        <w:rPr>
          <w:rFonts w:hint="eastAsia"/>
          <w:szCs w:val="22"/>
          <w:lang w:val="en-US" w:eastAsia="zh-CN"/>
        </w:rPr>
      </w:pPr>
      <w:r>
        <w:rPr>
          <w:rFonts w:hint="eastAsia"/>
          <w:szCs w:val="22"/>
          <w:lang w:val="en-US" w:eastAsia="zh-CN"/>
        </w:rPr>
        <w:t>协同合作，要求MTC车道收费人员也要关注ETC车道的情况，减少故障发生率以及处置时间；</w:t>
      </w:r>
    </w:p>
    <w:p>
      <w:pPr>
        <w:pStyle w:val="28"/>
        <w:keepNext w:val="0"/>
        <w:keepLines w:val="0"/>
        <w:pageBreakBefore w:val="0"/>
        <w:widowControl/>
        <w:numPr>
          <w:ilvl w:val="0"/>
          <w:numId w:val="12"/>
        </w:numPr>
        <w:kinsoku/>
        <w:wordWrap/>
        <w:overflowPunct/>
        <w:topLinePunct w:val="0"/>
        <w:autoSpaceDE w:val="0"/>
        <w:autoSpaceDN w:val="0"/>
        <w:bidi w:val="0"/>
        <w:adjustRightInd/>
        <w:snapToGrid/>
        <w:spacing w:line="360" w:lineRule="auto"/>
        <w:ind w:firstLine="420" w:firstLineChars="200"/>
        <w:textAlignment w:val="auto"/>
        <w:rPr>
          <w:rFonts w:hint="eastAsia"/>
          <w:szCs w:val="22"/>
          <w:lang w:val="en-US" w:eastAsia="zh-CN"/>
        </w:rPr>
      </w:pPr>
      <w:r>
        <w:rPr>
          <w:rFonts w:hint="eastAsia"/>
          <w:szCs w:val="22"/>
          <w:lang w:val="en-US" w:eastAsia="zh-CN"/>
        </w:rPr>
        <w:t>技术掌握，运维人员应做到对ETC软硬件系统熟悉、了解设备工作原理、硬件组成及常见问题处理。当发生问题时，能够及时进行问题排查与处理；</w:t>
      </w:r>
    </w:p>
    <w:p>
      <w:pPr>
        <w:pStyle w:val="28"/>
        <w:keepNext w:val="0"/>
        <w:keepLines w:val="0"/>
        <w:pageBreakBefore w:val="0"/>
        <w:widowControl/>
        <w:numPr>
          <w:ilvl w:val="0"/>
          <w:numId w:val="12"/>
        </w:numPr>
        <w:kinsoku/>
        <w:wordWrap/>
        <w:overflowPunct/>
        <w:topLinePunct w:val="0"/>
        <w:autoSpaceDE w:val="0"/>
        <w:autoSpaceDN w:val="0"/>
        <w:bidi w:val="0"/>
        <w:adjustRightInd/>
        <w:snapToGrid/>
        <w:spacing w:line="360" w:lineRule="auto"/>
        <w:ind w:firstLine="420" w:firstLineChars="200"/>
        <w:textAlignment w:val="auto"/>
        <w:rPr>
          <w:rFonts w:hint="eastAsia"/>
          <w:szCs w:val="22"/>
          <w:lang w:val="en-US" w:eastAsia="zh-CN"/>
        </w:rPr>
      </w:pPr>
      <w:r>
        <w:rPr>
          <w:rFonts w:hint="eastAsia"/>
          <w:szCs w:val="22"/>
          <w:lang w:val="en-US" w:eastAsia="zh-CN"/>
        </w:rPr>
        <w:t>设备状态巡检，运维人员每日上岗前应检查ETC车道RSU天线的软件设置是否正确，控制器指示灯状态是否正常，同时进行必要的清洁，保障设备外观无污物，设备扫描范围内无障碍物。每月对设备的安装螺丝及设备部件间的通信接头连接进行一次全面检查，一经发现松动，必须紧固；</w:t>
      </w:r>
    </w:p>
    <w:p>
      <w:pPr>
        <w:pStyle w:val="28"/>
        <w:keepNext w:val="0"/>
        <w:keepLines w:val="0"/>
        <w:pageBreakBefore w:val="0"/>
        <w:widowControl/>
        <w:numPr>
          <w:ilvl w:val="0"/>
          <w:numId w:val="12"/>
        </w:numPr>
        <w:kinsoku/>
        <w:wordWrap/>
        <w:overflowPunct/>
        <w:topLinePunct w:val="0"/>
        <w:autoSpaceDE w:val="0"/>
        <w:autoSpaceDN w:val="0"/>
        <w:bidi w:val="0"/>
        <w:adjustRightInd/>
        <w:snapToGrid/>
        <w:spacing w:line="360" w:lineRule="auto"/>
        <w:ind w:firstLine="420" w:firstLineChars="200"/>
        <w:textAlignment w:val="auto"/>
        <w:rPr>
          <w:rFonts w:hint="eastAsia"/>
          <w:szCs w:val="22"/>
          <w:lang w:val="en-US" w:eastAsia="zh-CN"/>
        </w:rPr>
      </w:pPr>
      <w:r>
        <w:rPr>
          <w:rFonts w:hint="eastAsia"/>
          <w:szCs w:val="22"/>
          <w:lang w:val="en-US" w:eastAsia="zh-CN"/>
        </w:rPr>
        <w:t>设备异常记录，具有ETC支付功能车道应有对应的《非正常情况记录表》，当班人员上岗时应对ETC天线工作状态进行巡检，并记录巡检结果。随时记录所有因ETC设施异常导致的车道非正常情况，包括死机、卡顿、不落杆及不抬杆等问题。用于后续提交设备服务商，进行设备维修使用；</w:t>
      </w:r>
    </w:p>
    <w:p>
      <w:pPr>
        <w:pStyle w:val="28"/>
        <w:keepNext w:val="0"/>
        <w:keepLines w:val="0"/>
        <w:pageBreakBefore w:val="0"/>
        <w:widowControl/>
        <w:numPr>
          <w:ilvl w:val="0"/>
          <w:numId w:val="12"/>
        </w:numPr>
        <w:kinsoku/>
        <w:wordWrap/>
        <w:overflowPunct/>
        <w:topLinePunct w:val="0"/>
        <w:autoSpaceDE w:val="0"/>
        <w:autoSpaceDN w:val="0"/>
        <w:bidi w:val="0"/>
        <w:adjustRightInd/>
        <w:snapToGrid/>
        <w:spacing w:line="360" w:lineRule="auto"/>
        <w:ind w:firstLine="420" w:firstLineChars="200"/>
        <w:textAlignment w:val="auto"/>
        <w:rPr>
          <w:rFonts w:hint="eastAsia"/>
          <w:szCs w:val="22"/>
          <w:lang w:val="en-US" w:eastAsia="zh-CN"/>
        </w:rPr>
      </w:pPr>
      <w:r>
        <w:rPr>
          <w:rFonts w:hint="eastAsia"/>
          <w:szCs w:val="22"/>
          <w:lang w:val="en-US" w:eastAsia="zh-CN"/>
        </w:rPr>
        <w:t>故障处理，ETC车道系统常见问题与处理见</w:t>
      </w:r>
      <w:r>
        <w:rPr>
          <w:rFonts w:hint="eastAsia"/>
          <w:szCs w:val="22"/>
          <w:highlight w:val="none"/>
          <w:lang w:val="en-US" w:eastAsia="zh-CN"/>
        </w:rPr>
        <w:t>附录B</w:t>
      </w:r>
      <w:r>
        <w:rPr>
          <w:rFonts w:hint="eastAsia"/>
          <w:szCs w:val="22"/>
          <w:lang w:val="en-US" w:eastAsia="zh-CN"/>
        </w:rPr>
        <w:t>。若在出现设备故障无法自行排除时，应及时保修设备服务商。对于影响停车场（库）业务运行的故障（非人为因素或自然不可抗力），应在 2~4 小时内修复。对于因网络异常而产生的故障（非人为因素或自然不可抗力），应在1小时内修复至少一条通信链路，其他链路需在2小时内修复。在维修的过程中，应对ETC问题车道进行暂停服务提醒车主，或采用其它支付方式对出场车辆收取停车费用，并向车主主动做出说明同时做好车辆出场记录。确保在故障维修过程中，停车场（库）内车辆出入正常无拥堵；</w:t>
      </w:r>
    </w:p>
    <w:p>
      <w:pPr>
        <w:pStyle w:val="28"/>
        <w:keepNext w:val="0"/>
        <w:keepLines w:val="0"/>
        <w:pageBreakBefore w:val="0"/>
        <w:widowControl/>
        <w:numPr>
          <w:ilvl w:val="0"/>
          <w:numId w:val="12"/>
        </w:numPr>
        <w:kinsoku/>
        <w:wordWrap/>
        <w:overflowPunct/>
        <w:topLinePunct w:val="0"/>
        <w:autoSpaceDE w:val="0"/>
        <w:autoSpaceDN w:val="0"/>
        <w:bidi w:val="0"/>
        <w:adjustRightInd/>
        <w:snapToGrid/>
        <w:spacing w:line="360" w:lineRule="auto"/>
        <w:ind w:firstLine="420" w:firstLineChars="200"/>
        <w:textAlignment w:val="auto"/>
        <w:rPr>
          <w:rFonts w:hint="eastAsia"/>
          <w:szCs w:val="22"/>
          <w:lang w:val="en-US" w:eastAsia="zh-CN"/>
        </w:rPr>
      </w:pPr>
      <w:r>
        <w:rPr>
          <w:rFonts w:hint="eastAsia"/>
          <w:szCs w:val="22"/>
          <w:lang w:val="en-US" w:eastAsia="zh-CN"/>
        </w:rPr>
        <w:t>部件更换，在确认设备零部件需要更换后，应与维修服务商进行签订《部件更换服务确认单》，必须要使用同样的品牌、规格型号设备进行更换及时恢复系统的正常运行。部件更换时应选择车辆出入场低峰时段，避免发生车辆出入场地拥堵现象；</w:t>
      </w:r>
    </w:p>
    <w:p>
      <w:pPr>
        <w:pStyle w:val="28"/>
        <w:keepNext w:val="0"/>
        <w:keepLines w:val="0"/>
        <w:pageBreakBefore w:val="0"/>
        <w:widowControl/>
        <w:numPr>
          <w:ilvl w:val="0"/>
          <w:numId w:val="12"/>
        </w:numPr>
        <w:kinsoku/>
        <w:wordWrap/>
        <w:overflowPunct/>
        <w:topLinePunct w:val="0"/>
        <w:autoSpaceDE w:val="0"/>
        <w:autoSpaceDN w:val="0"/>
        <w:bidi w:val="0"/>
        <w:adjustRightInd/>
        <w:snapToGrid/>
        <w:spacing w:line="360" w:lineRule="auto"/>
        <w:ind w:firstLine="420" w:firstLineChars="200"/>
        <w:textAlignment w:val="auto"/>
        <w:rPr>
          <w:rFonts w:hint="eastAsia"/>
          <w:szCs w:val="22"/>
          <w:lang w:val="en-US" w:eastAsia="zh-CN"/>
        </w:rPr>
      </w:pPr>
      <w:r>
        <w:rPr>
          <w:rFonts w:hint="eastAsia"/>
          <w:szCs w:val="22"/>
          <w:lang w:val="en-US" w:eastAsia="zh-CN"/>
        </w:rPr>
        <w:t>预案制定，应针对停车场（库）ETC可预知故障定制定应急预案，以及在实际业务开展过程中完善与丰富应急预案，实现及时有效应对各类系统突发故障，每年开展不少于1次针对不同场景的应急演练；</w:t>
      </w:r>
    </w:p>
    <w:p>
      <w:pPr>
        <w:pStyle w:val="28"/>
        <w:keepNext w:val="0"/>
        <w:keepLines w:val="0"/>
        <w:pageBreakBefore w:val="0"/>
        <w:widowControl/>
        <w:numPr>
          <w:ilvl w:val="0"/>
          <w:numId w:val="12"/>
        </w:numPr>
        <w:kinsoku/>
        <w:wordWrap/>
        <w:overflowPunct/>
        <w:topLinePunct w:val="0"/>
        <w:autoSpaceDE w:val="0"/>
        <w:autoSpaceDN w:val="0"/>
        <w:bidi w:val="0"/>
        <w:adjustRightInd/>
        <w:snapToGrid/>
        <w:spacing w:line="360" w:lineRule="auto"/>
        <w:ind w:firstLine="420" w:firstLineChars="200"/>
        <w:textAlignment w:val="auto"/>
        <w:rPr>
          <w:rFonts w:hint="eastAsia"/>
          <w:szCs w:val="22"/>
          <w:lang w:val="en-US" w:eastAsia="zh-CN"/>
        </w:rPr>
      </w:pPr>
      <w:r>
        <w:rPr>
          <w:rFonts w:hint="eastAsia"/>
          <w:szCs w:val="22"/>
          <w:lang w:val="en-US" w:eastAsia="zh-CN"/>
        </w:rPr>
        <w:t>停车场（库）若发生改造、扩建及ETC天线设备升级，应要按《ETC智慧停车场 ETC天线设备要求》执行ETC天线设备相关规范标准，并同时上报辽宁ETC发行机构进行ETC天线设备备案登记；</w:t>
      </w:r>
    </w:p>
    <w:p>
      <w:pPr>
        <w:pStyle w:val="28"/>
        <w:keepNext w:val="0"/>
        <w:keepLines w:val="0"/>
        <w:pageBreakBefore w:val="0"/>
        <w:widowControl/>
        <w:numPr>
          <w:ilvl w:val="0"/>
          <w:numId w:val="12"/>
        </w:numPr>
        <w:kinsoku/>
        <w:wordWrap/>
        <w:overflowPunct/>
        <w:topLinePunct w:val="0"/>
        <w:autoSpaceDE w:val="0"/>
        <w:autoSpaceDN w:val="0"/>
        <w:bidi w:val="0"/>
        <w:adjustRightInd/>
        <w:snapToGrid/>
        <w:spacing w:line="360" w:lineRule="auto"/>
        <w:ind w:firstLine="420" w:firstLineChars="200"/>
        <w:textAlignment w:val="auto"/>
        <w:rPr>
          <w:rFonts w:hint="eastAsia"/>
          <w:szCs w:val="22"/>
          <w:lang w:val="en-US" w:eastAsia="zh-CN"/>
        </w:rPr>
      </w:pPr>
      <w:r>
        <w:rPr>
          <w:rFonts w:hint="eastAsia"/>
          <w:szCs w:val="22"/>
          <w:lang w:val="en-US" w:eastAsia="zh-CN"/>
        </w:rPr>
        <w:t>每日应对场地内ETC天线设备运维工作做好工作记录，特别是对潜在问题识别、问题处理、问题应急及问题状态跟踪做好相关记录，以便用于后续问题回溯及运维知识库更新使用。</w:t>
      </w:r>
    </w:p>
    <w:p>
      <w:pPr>
        <w:pStyle w:val="30"/>
        <w:bidi w:val="0"/>
        <w:ind w:left="0" w:leftChars="0" w:firstLine="0" w:firstLineChars="0"/>
        <w:rPr>
          <w:rFonts w:hint="eastAsia"/>
          <w:lang w:val="en-US" w:eastAsia="zh-CN"/>
        </w:rPr>
      </w:pPr>
      <w:bookmarkStart w:id="97" w:name="_Toc29241"/>
      <w:r>
        <w:rPr>
          <w:rFonts w:hint="eastAsia"/>
          <w:lang w:val="en-US" w:eastAsia="zh-CN"/>
        </w:rPr>
        <w:t>停车场（库）信息管理系统运维</w:t>
      </w:r>
      <w:bookmarkEnd w:id="97"/>
    </w:p>
    <w:p>
      <w:pPr>
        <w:pStyle w:val="31"/>
        <w:bidi w:val="0"/>
        <w:ind w:left="0" w:leftChars="0" w:firstLine="0" w:firstLineChars="0"/>
        <w:rPr>
          <w:rFonts w:hint="eastAsia"/>
          <w:lang w:val="en-US" w:eastAsia="zh-CN"/>
        </w:rPr>
      </w:pPr>
      <w:bookmarkStart w:id="98" w:name="_Toc11625"/>
      <w:r>
        <w:rPr>
          <w:rFonts w:hint="eastAsia"/>
          <w:lang w:val="en-US" w:eastAsia="zh-CN"/>
        </w:rPr>
        <w:t>目的</w:t>
      </w:r>
      <w:bookmarkEnd w:id="98"/>
    </w:p>
    <w:p>
      <w:pPr>
        <w:pStyle w:val="28"/>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firstLine="420" w:firstLineChars="200"/>
        <w:textAlignment w:val="auto"/>
        <w:rPr>
          <w:rFonts w:hint="eastAsia"/>
          <w:szCs w:val="22"/>
          <w:lang w:val="en-US" w:eastAsia="zh-CN"/>
        </w:rPr>
      </w:pPr>
      <w:r>
        <w:rPr>
          <w:rFonts w:hint="eastAsia"/>
          <w:szCs w:val="22"/>
          <w:lang w:val="en-US" w:eastAsia="zh-CN"/>
        </w:rPr>
        <w:t>保障停车管理系统正常运行，使其与之相关联动的停车设施正常运行，确保停车场（库）内车辆出入场地通行、费用扣缴，业务数据记录、查询和上传等各项业务功能平稳运行。</w:t>
      </w:r>
    </w:p>
    <w:p>
      <w:pPr>
        <w:pStyle w:val="31"/>
        <w:bidi w:val="0"/>
        <w:ind w:left="0" w:leftChars="0" w:firstLine="0" w:firstLineChars="0"/>
        <w:rPr>
          <w:rFonts w:hint="eastAsia"/>
          <w:lang w:val="en-US" w:eastAsia="zh-CN"/>
        </w:rPr>
      </w:pPr>
      <w:bookmarkStart w:id="99" w:name="_Toc6368"/>
      <w:r>
        <w:rPr>
          <w:rFonts w:hint="eastAsia"/>
          <w:lang w:val="en-US" w:eastAsia="zh-CN"/>
        </w:rPr>
        <w:t>范围</w:t>
      </w:r>
      <w:bookmarkEnd w:id="99"/>
    </w:p>
    <w:p>
      <w:pPr>
        <w:pStyle w:val="28"/>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firstLine="420" w:firstLineChars="200"/>
        <w:textAlignment w:val="auto"/>
        <w:rPr>
          <w:rFonts w:hint="eastAsia"/>
          <w:szCs w:val="22"/>
          <w:lang w:val="en-US" w:eastAsia="zh-CN"/>
        </w:rPr>
      </w:pPr>
      <w:r>
        <w:rPr>
          <w:rFonts w:hint="eastAsia"/>
          <w:szCs w:val="22"/>
          <w:lang w:val="en-US" w:eastAsia="zh-CN"/>
        </w:rPr>
        <w:t>对停车管理系统运行监控、日常维护与问题排查处理。</w:t>
      </w:r>
    </w:p>
    <w:p>
      <w:pPr>
        <w:pStyle w:val="28"/>
        <w:keepNext w:val="0"/>
        <w:keepLines w:val="0"/>
        <w:pageBreakBefore w:val="0"/>
        <w:widowControl/>
        <w:numPr>
          <w:ilvl w:val="0"/>
          <w:numId w:val="13"/>
        </w:numPr>
        <w:kinsoku/>
        <w:wordWrap/>
        <w:overflowPunct/>
        <w:topLinePunct w:val="0"/>
        <w:autoSpaceDE w:val="0"/>
        <w:autoSpaceDN w:val="0"/>
        <w:bidi w:val="0"/>
        <w:adjustRightInd/>
        <w:snapToGrid/>
        <w:spacing w:line="360" w:lineRule="auto"/>
        <w:ind w:firstLine="420" w:firstLineChars="200"/>
        <w:textAlignment w:val="auto"/>
        <w:rPr>
          <w:rFonts w:hint="eastAsia"/>
          <w:szCs w:val="22"/>
          <w:lang w:val="en-US" w:eastAsia="zh-CN"/>
        </w:rPr>
      </w:pPr>
      <w:r>
        <w:rPr>
          <w:rFonts w:hint="eastAsia"/>
          <w:szCs w:val="22"/>
          <w:lang w:val="en-US" w:eastAsia="zh-CN"/>
        </w:rPr>
        <w:t>运行监控，重点项目包括：系统运行环境资源、系统运行环境安全、系统数据备份和系统常见问题处理；</w:t>
      </w:r>
    </w:p>
    <w:p>
      <w:pPr>
        <w:pStyle w:val="28"/>
        <w:keepNext w:val="0"/>
        <w:keepLines w:val="0"/>
        <w:pageBreakBefore w:val="0"/>
        <w:widowControl/>
        <w:numPr>
          <w:ilvl w:val="0"/>
          <w:numId w:val="13"/>
        </w:numPr>
        <w:kinsoku/>
        <w:wordWrap/>
        <w:overflowPunct/>
        <w:topLinePunct w:val="0"/>
        <w:autoSpaceDE w:val="0"/>
        <w:autoSpaceDN w:val="0"/>
        <w:bidi w:val="0"/>
        <w:adjustRightInd/>
        <w:snapToGrid/>
        <w:spacing w:line="360" w:lineRule="auto"/>
        <w:ind w:firstLine="420" w:firstLineChars="200"/>
        <w:textAlignment w:val="auto"/>
        <w:rPr>
          <w:rFonts w:hint="eastAsia"/>
          <w:szCs w:val="22"/>
          <w:lang w:val="en-US" w:eastAsia="zh-CN"/>
        </w:rPr>
      </w:pPr>
      <w:r>
        <w:rPr>
          <w:rFonts w:hint="eastAsia"/>
          <w:szCs w:val="22"/>
          <w:lang w:val="en-US" w:eastAsia="zh-CN"/>
        </w:rPr>
        <w:t>运维工作过程记录与归档。</w:t>
      </w:r>
    </w:p>
    <w:p>
      <w:pPr>
        <w:pStyle w:val="31"/>
        <w:bidi w:val="0"/>
        <w:ind w:left="0" w:leftChars="0" w:firstLine="0" w:firstLineChars="0"/>
        <w:rPr>
          <w:rFonts w:hint="eastAsia"/>
          <w:lang w:val="en-US" w:eastAsia="zh-CN"/>
        </w:rPr>
      </w:pPr>
      <w:bookmarkStart w:id="100" w:name="_Toc28757"/>
      <w:r>
        <w:rPr>
          <w:rFonts w:hint="eastAsia"/>
          <w:lang w:val="en-US" w:eastAsia="zh-CN"/>
        </w:rPr>
        <w:t>要求</w:t>
      </w:r>
      <w:bookmarkEnd w:id="100"/>
    </w:p>
    <w:p>
      <w:pPr>
        <w:pStyle w:val="28"/>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firstLine="420" w:firstLineChars="200"/>
        <w:textAlignment w:val="auto"/>
        <w:rPr>
          <w:rFonts w:hint="default"/>
          <w:szCs w:val="22"/>
          <w:lang w:val="en-US" w:eastAsia="zh-CN"/>
        </w:rPr>
      </w:pPr>
      <w:r>
        <w:rPr>
          <w:rFonts w:hint="eastAsia"/>
          <w:szCs w:val="22"/>
          <w:lang w:val="en-US" w:eastAsia="zh-CN"/>
        </w:rPr>
        <w:t>停车场（库）信息管理系统运维应满足下列要求。</w:t>
      </w:r>
    </w:p>
    <w:p>
      <w:pPr>
        <w:pStyle w:val="28"/>
        <w:keepNext w:val="0"/>
        <w:keepLines w:val="0"/>
        <w:pageBreakBefore w:val="0"/>
        <w:widowControl/>
        <w:numPr>
          <w:ilvl w:val="0"/>
          <w:numId w:val="14"/>
        </w:numPr>
        <w:kinsoku/>
        <w:wordWrap/>
        <w:overflowPunct/>
        <w:topLinePunct w:val="0"/>
        <w:autoSpaceDE w:val="0"/>
        <w:autoSpaceDN w:val="0"/>
        <w:bidi w:val="0"/>
        <w:adjustRightInd/>
        <w:snapToGrid/>
        <w:spacing w:line="360" w:lineRule="auto"/>
        <w:ind w:firstLine="420" w:firstLineChars="200"/>
        <w:textAlignment w:val="auto"/>
        <w:rPr>
          <w:rFonts w:hint="eastAsia"/>
          <w:szCs w:val="22"/>
          <w:lang w:val="en-US" w:eastAsia="zh-CN"/>
        </w:rPr>
      </w:pPr>
      <w:r>
        <w:rPr>
          <w:rFonts w:hint="eastAsia"/>
          <w:szCs w:val="22"/>
          <w:lang w:val="en-US" w:eastAsia="zh-CN"/>
        </w:rPr>
        <w:t>日常维护：每日上岗或换岗时，应对停车管理系统运行环境内存空余情况、硬盘空余情况及网络情况进行检查与确认，发现资源异常应及时处理。在日常工作中，不能随意向运行停车系统电脑插入非工作授权硬件设备，包括鼠标、键盘、U盘和移动硬盘等。每周应对停车管理系统运行环境进行病毒查杀，确保操作系统环境稳定正常；</w:t>
      </w:r>
    </w:p>
    <w:p>
      <w:pPr>
        <w:pStyle w:val="28"/>
        <w:keepNext w:val="0"/>
        <w:keepLines w:val="0"/>
        <w:pageBreakBefore w:val="0"/>
        <w:widowControl/>
        <w:numPr>
          <w:ilvl w:val="0"/>
          <w:numId w:val="14"/>
        </w:numPr>
        <w:kinsoku/>
        <w:wordWrap/>
        <w:overflowPunct/>
        <w:topLinePunct w:val="0"/>
        <w:autoSpaceDE w:val="0"/>
        <w:autoSpaceDN w:val="0"/>
        <w:bidi w:val="0"/>
        <w:adjustRightInd/>
        <w:snapToGrid/>
        <w:spacing w:line="360" w:lineRule="auto"/>
        <w:ind w:firstLine="420" w:firstLineChars="200"/>
        <w:textAlignment w:val="auto"/>
        <w:rPr>
          <w:rFonts w:hint="eastAsia"/>
          <w:szCs w:val="22"/>
          <w:lang w:val="en-US" w:eastAsia="zh-CN"/>
        </w:rPr>
      </w:pPr>
      <w:r>
        <w:rPr>
          <w:rFonts w:hint="eastAsia"/>
          <w:szCs w:val="22"/>
          <w:lang w:val="en-US" w:eastAsia="zh-CN"/>
        </w:rPr>
        <w:t>故障处理：停车管理系统在日常使用中，若出现频繁卡顿，应优先排查系统内存与磁盘资源空余情况。若出现操作系统死机情况，可以在不影响正常业务的情况尝试重启系统，在系统重启过程中应采用人工方式管理出入停车场（库）内车辆，确保车辆出入场地顺畅不发生拥堵。若操作系统与其他软件运行正常，而停车管理系统频频出现异常问题，应及时与停车系统服务商沟通，排查与解决停车管理系统问题；</w:t>
      </w:r>
    </w:p>
    <w:p>
      <w:pPr>
        <w:pStyle w:val="28"/>
        <w:keepNext w:val="0"/>
        <w:keepLines w:val="0"/>
        <w:pageBreakBefore w:val="0"/>
        <w:widowControl/>
        <w:numPr>
          <w:ilvl w:val="0"/>
          <w:numId w:val="14"/>
        </w:numPr>
        <w:kinsoku/>
        <w:wordWrap/>
        <w:overflowPunct/>
        <w:topLinePunct w:val="0"/>
        <w:autoSpaceDE w:val="0"/>
        <w:autoSpaceDN w:val="0"/>
        <w:bidi w:val="0"/>
        <w:adjustRightInd/>
        <w:snapToGrid/>
        <w:spacing w:line="360" w:lineRule="auto"/>
        <w:ind w:firstLine="420" w:firstLineChars="200"/>
        <w:textAlignment w:val="auto"/>
        <w:rPr>
          <w:rFonts w:hint="eastAsia"/>
          <w:szCs w:val="22"/>
          <w:lang w:val="en-US" w:eastAsia="zh-CN"/>
        </w:rPr>
      </w:pPr>
      <w:r>
        <w:rPr>
          <w:rFonts w:hint="eastAsia"/>
          <w:szCs w:val="22"/>
          <w:lang w:val="en-US" w:eastAsia="zh-CN"/>
        </w:rPr>
        <w:t>数据备份：应每周对系统操作日志、系统工作状态日志、车辆进出信息和车辆缴费记录信息等关键业务数据，进行数据备份。备份方式包括系统自动备份与手动离线备份操作（系统离线备份数据以加密形式导出）。若发现系统出现运行不稳定，应及时采取数据离线备份，确保停车业务数据完整与安全；</w:t>
      </w:r>
    </w:p>
    <w:p>
      <w:pPr>
        <w:pStyle w:val="28"/>
        <w:keepNext w:val="0"/>
        <w:keepLines w:val="0"/>
        <w:pageBreakBefore w:val="0"/>
        <w:widowControl/>
        <w:numPr>
          <w:ilvl w:val="0"/>
          <w:numId w:val="14"/>
        </w:numPr>
        <w:kinsoku/>
        <w:wordWrap/>
        <w:overflowPunct/>
        <w:topLinePunct w:val="0"/>
        <w:autoSpaceDE w:val="0"/>
        <w:autoSpaceDN w:val="0"/>
        <w:bidi w:val="0"/>
        <w:adjustRightInd/>
        <w:snapToGrid/>
        <w:spacing w:line="360" w:lineRule="auto"/>
        <w:ind w:firstLine="420" w:firstLineChars="200"/>
        <w:textAlignment w:val="auto"/>
        <w:rPr>
          <w:rFonts w:hint="eastAsia"/>
          <w:szCs w:val="22"/>
          <w:lang w:val="en-US" w:eastAsia="zh-CN"/>
        </w:rPr>
      </w:pPr>
      <w:r>
        <w:rPr>
          <w:rFonts w:hint="eastAsia"/>
          <w:szCs w:val="22"/>
          <w:lang w:val="en-US" w:eastAsia="zh-CN"/>
        </w:rPr>
        <w:t>安全管理：运行停车管理系统电脑必须设置系统登录账户，登录账户应由专人管理，账号仅提供给值班人员或停车场（库）主管，其他非相关人员无权获取。停车管理系统账户应由专人分配，做到一人一账号。系统账号密码应至少每3个月修改一次，从而确保停车管理系统登录者的合法性与安全性。在停车值班人员交班时，在岗人员需要退出停车管理系统，上岗人员需使用自己的账号登录停车管理系统。当值班人员临时远离运行停车管理系统的电脑设备时，需要退出停车管理系统与操作系统，避免非操作人员擅自操作；</w:t>
      </w:r>
    </w:p>
    <w:p>
      <w:pPr>
        <w:pStyle w:val="28"/>
        <w:keepNext w:val="0"/>
        <w:keepLines w:val="0"/>
        <w:pageBreakBefore w:val="0"/>
        <w:widowControl/>
        <w:numPr>
          <w:ilvl w:val="0"/>
          <w:numId w:val="14"/>
        </w:numPr>
        <w:kinsoku/>
        <w:wordWrap/>
        <w:overflowPunct/>
        <w:topLinePunct w:val="0"/>
        <w:autoSpaceDE w:val="0"/>
        <w:autoSpaceDN w:val="0"/>
        <w:bidi w:val="0"/>
        <w:adjustRightInd/>
        <w:snapToGrid/>
        <w:spacing w:line="360" w:lineRule="auto"/>
        <w:ind w:firstLine="420" w:firstLineChars="200"/>
        <w:textAlignment w:val="auto"/>
        <w:rPr>
          <w:rFonts w:hint="eastAsia"/>
          <w:szCs w:val="22"/>
          <w:lang w:val="en-US" w:eastAsia="zh-CN"/>
        </w:rPr>
      </w:pPr>
      <w:r>
        <w:rPr>
          <w:rFonts w:hint="eastAsia"/>
          <w:szCs w:val="22"/>
          <w:lang w:val="en-US" w:eastAsia="zh-CN"/>
        </w:rPr>
        <w:t>停车场（库）若发生停车管理系统升级，仍需要按本文件内容执行停车管理系统相关规范标准，并同时上报辽宁ETC发行机构进行停车管理系统备案登记；</w:t>
      </w:r>
    </w:p>
    <w:p>
      <w:pPr>
        <w:pStyle w:val="28"/>
        <w:keepNext w:val="0"/>
        <w:keepLines w:val="0"/>
        <w:pageBreakBefore w:val="0"/>
        <w:widowControl/>
        <w:numPr>
          <w:ilvl w:val="0"/>
          <w:numId w:val="14"/>
        </w:numPr>
        <w:kinsoku/>
        <w:wordWrap/>
        <w:overflowPunct/>
        <w:topLinePunct w:val="0"/>
        <w:autoSpaceDE w:val="0"/>
        <w:autoSpaceDN w:val="0"/>
        <w:bidi w:val="0"/>
        <w:adjustRightInd/>
        <w:snapToGrid/>
        <w:spacing w:line="360" w:lineRule="auto"/>
        <w:ind w:firstLine="420" w:firstLineChars="200"/>
        <w:textAlignment w:val="auto"/>
        <w:rPr>
          <w:rFonts w:hint="eastAsia"/>
          <w:szCs w:val="22"/>
          <w:lang w:val="en-US" w:eastAsia="zh-CN"/>
        </w:rPr>
      </w:pPr>
      <w:r>
        <w:rPr>
          <w:rFonts w:hint="eastAsia"/>
          <w:szCs w:val="22"/>
          <w:lang w:val="en-US" w:eastAsia="zh-CN"/>
        </w:rPr>
        <w:t>每日应对场地内停车管理系统运维工作做好工作记录，特别是对潜在问题识别、问题处理、问题应急和问题状态跟踪做好相关记录，以便用于后续问题回溯及运维知识库更新使用。</w:t>
      </w:r>
    </w:p>
    <w:p>
      <w:pPr>
        <w:pStyle w:val="30"/>
        <w:bidi w:val="0"/>
        <w:ind w:left="0" w:leftChars="0" w:firstLine="0" w:firstLineChars="0"/>
        <w:rPr>
          <w:rFonts w:hint="eastAsia"/>
          <w:lang w:val="en-US" w:eastAsia="zh-CN"/>
        </w:rPr>
      </w:pPr>
      <w:bookmarkStart w:id="101" w:name="_Toc2456"/>
      <w:r>
        <w:rPr>
          <w:rFonts w:hint="eastAsia"/>
          <w:lang w:val="en-US" w:eastAsia="zh-CN"/>
        </w:rPr>
        <w:t>停车场（库）ETC停车业务咨询</w:t>
      </w:r>
      <w:bookmarkEnd w:id="101"/>
    </w:p>
    <w:p>
      <w:pPr>
        <w:pStyle w:val="31"/>
        <w:bidi w:val="0"/>
        <w:ind w:left="0" w:leftChars="0" w:firstLine="0" w:firstLineChars="0"/>
        <w:rPr>
          <w:rFonts w:hint="eastAsia"/>
          <w:lang w:val="en-US" w:eastAsia="zh-CN"/>
        </w:rPr>
      </w:pPr>
      <w:bookmarkStart w:id="102" w:name="_Toc22357"/>
      <w:r>
        <w:rPr>
          <w:rFonts w:hint="eastAsia"/>
          <w:lang w:val="en-US" w:eastAsia="zh-CN"/>
        </w:rPr>
        <w:t>目的</w:t>
      </w:r>
      <w:bookmarkEnd w:id="102"/>
    </w:p>
    <w:p>
      <w:pPr>
        <w:pStyle w:val="28"/>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firstLine="420" w:firstLineChars="200"/>
        <w:textAlignment w:val="auto"/>
        <w:rPr>
          <w:rFonts w:hint="eastAsia"/>
          <w:szCs w:val="22"/>
          <w:lang w:val="en-US" w:eastAsia="zh-CN"/>
        </w:rPr>
      </w:pPr>
      <w:r>
        <w:rPr>
          <w:rFonts w:hint="eastAsia"/>
          <w:szCs w:val="22"/>
          <w:lang w:val="en-US" w:eastAsia="zh-CN"/>
        </w:rPr>
        <w:t>保障客户对停车场（库）内ETC停车相关业务咨询给予及时有效的反馈，解决客户对停车场（库）内ETC停车相关业务的疑惑，让客户清楚了解停车场（库）内ETC停车业务服务内容及如何操作。</w:t>
      </w:r>
    </w:p>
    <w:p>
      <w:pPr>
        <w:pStyle w:val="31"/>
        <w:bidi w:val="0"/>
        <w:ind w:left="0" w:leftChars="0" w:firstLine="0" w:firstLineChars="0"/>
        <w:rPr>
          <w:rFonts w:hint="eastAsia"/>
          <w:lang w:val="en-US" w:eastAsia="zh-CN"/>
        </w:rPr>
      </w:pPr>
      <w:bookmarkStart w:id="103" w:name="_Toc30780"/>
      <w:r>
        <w:rPr>
          <w:rFonts w:hint="eastAsia"/>
          <w:lang w:val="en-US" w:eastAsia="zh-CN"/>
        </w:rPr>
        <w:t>范围</w:t>
      </w:r>
      <w:bookmarkEnd w:id="103"/>
    </w:p>
    <w:p>
      <w:pPr>
        <w:pStyle w:val="28"/>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firstLine="420" w:firstLineChars="200"/>
        <w:textAlignment w:val="auto"/>
        <w:rPr>
          <w:rFonts w:hint="eastAsia"/>
          <w:szCs w:val="22"/>
          <w:lang w:val="en-US" w:eastAsia="zh-CN"/>
        </w:rPr>
      </w:pPr>
      <w:r>
        <w:rPr>
          <w:rFonts w:hint="eastAsia"/>
          <w:szCs w:val="22"/>
          <w:lang w:val="en-US" w:eastAsia="zh-CN"/>
        </w:rPr>
        <w:t>对本停车停车场（库）内的ETC停车与结算相关业务提供咨询服务。</w:t>
      </w:r>
    </w:p>
    <w:p>
      <w:pPr>
        <w:pStyle w:val="28"/>
        <w:keepNext w:val="0"/>
        <w:keepLines w:val="0"/>
        <w:pageBreakBefore w:val="0"/>
        <w:widowControl/>
        <w:numPr>
          <w:ilvl w:val="0"/>
          <w:numId w:val="15"/>
        </w:numPr>
        <w:kinsoku/>
        <w:wordWrap/>
        <w:overflowPunct/>
        <w:topLinePunct w:val="0"/>
        <w:autoSpaceDE w:val="0"/>
        <w:autoSpaceDN w:val="0"/>
        <w:bidi w:val="0"/>
        <w:adjustRightInd/>
        <w:snapToGrid/>
        <w:spacing w:line="360" w:lineRule="auto"/>
        <w:ind w:firstLine="420" w:firstLineChars="200"/>
        <w:textAlignment w:val="auto"/>
        <w:rPr>
          <w:rFonts w:hint="eastAsia"/>
          <w:szCs w:val="22"/>
          <w:lang w:val="en-US" w:eastAsia="zh-CN"/>
        </w:rPr>
      </w:pPr>
      <w:r>
        <w:rPr>
          <w:rFonts w:hint="eastAsia"/>
          <w:szCs w:val="22"/>
          <w:lang w:val="en-US" w:eastAsia="zh-CN"/>
        </w:rPr>
        <w:t>业务咨询服务重点项目包括：ETC停车服务咨询、停车场（库）内ETC停车操作咨询及ETC停车支付与收费咨询；</w:t>
      </w:r>
    </w:p>
    <w:p>
      <w:pPr>
        <w:pStyle w:val="28"/>
        <w:keepNext w:val="0"/>
        <w:keepLines w:val="0"/>
        <w:pageBreakBefore w:val="0"/>
        <w:widowControl/>
        <w:numPr>
          <w:ilvl w:val="0"/>
          <w:numId w:val="15"/>
        </w:numPr>
        <w:kinsoku/>
        <w:wordWrap/>
        <w:overflowPunct/>
        <w:topLinePunct w:val="0"/>
        <w:autoSpaceDE w:val="0"/>
        <w:autoSpaceDN w:val="0"/>
        <w:bidi w:val="0"/>
        <w:adjustRightInd/>
        <w:snapToGrid/>
        <w:spacing w:line="360" w:lineRule="auto"/>
        <w:ind w:firstLine="420" w:firstLineChars="200"/>
        <w:textAlignment w:val="auto"/>
        <w:rPr>
          <w:rFonts w:hint="eastAsia"/>
          <w:szCs w:val="22"/>
          <w:lang w:val="en-US" w:eastAsia="zh-CN"/>
        </w:rPr>
      </w:pPr>
      <w:r>
        <w:rPr>
          <w:rFonts w:hint="eastAsia"/>
          <w:szCs w:val="22"/>
          <w:lang w:val="en-US" w:eastAsia="zh-CN"/>
        </w:rPr>
        <w:t>运维工作过程记录与归档。</w:t>
      </w:r>
    </w:p>
    <w:p>
      <w:pPr>
        <w:pStyle w:val="31"/>
        <w:bidi w:val="0"/>
        <w:ind w:left="0" w:leftChars="0" w:firstLine="0" w:firstLineChars="0"/>
        <w:rPr>
          <w:rFonts w:hint="eastAsia"/>
          <w:lang w:val="en-US" w:eastAsia="zh-CN"/>
        </w:rPr>
      </w:pPr>
      <w:bookmarkStart w:id="104" w:name="_Toc13085"/>
      <w:r>
        <w:rPr>
          <w:rFonts w:hint="eastAsia"/>
          <w:lang w:val="en-US" w:eastAsia="zh-CN"/>
        </w:rPr>
        <w:t>要求</w:t>
      </w:r>
      <w:bookmarkEnd w:id="104"/>
    </w:p>
    <w:p>
      <w:pPr>
        <w:pStyle w:val="28"/>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firstLine="420" w:firstLineChars="200"/>
        <w:textAlignment w:val="auto"/>
        <w:rPr>
          <w:rFonts w:hint="default"/>
          <w:szCs w:val="22"/>
          <w:lang w:val="en-US" w:eastAsia="zh-CN"/>
        </w:rPr>
      </w:pPr>
      <w:r>
        <w:rPr>
          <w:rFonts w:hint="eastAsia"/>
          <w:szCs w:val="22"/>
          <w:lang w:val="en-US" w:eastAsia="zh-CN"/>
        </w:rPr>
        <w:t>停车场（库）ETC停车业务咨询应满足下列要求。</w:t>
      </w:r>
    </w:p>
    <w:p>
      <w:pPr>
        <w:pStyle w:val="28"/>
        <w:keepNext w:val="0"/>
        <w:keepLines w:val="0"/>
        <w:pageBreakBefore w:val="0"/>
        <w:widowControl/>
        <w:numPr>
          <w:ilvl w:val="0"/>
          <w:numId w:val="16"/>
        </w:numPr>
        <w:kinsoku/>
        <w:wordWrap/>
        <w:overflowPunct/>
        <w:topLinePunct w:val="0"/>
        <w:autoSpaceDE w:val="0"/>
        <w:autoSpaceDN w:val="0"/>
        <w:bidi w:val="0"/>
        <w:adjustRightInd/>
        <w:snapToGrid/>
        <w:spacing w:line="360" w:lineRule="auto"/>
        <w:ind w:firstLine="420" w:firstLineChars="200"/>
        <w:textAlignment w:val="auto"/>
        <w:rPr>
          <w:rFonts w:hint="eastAsia"/>
          <w:szCs w:val="22"/>
          <w:lang w:val="en-US" w:eastAsia="zh-CN"/>
        </w:rPr>
      </w:pPr>
      <w:r>
        <w:rPr>
          <w:rFonts w:hint="eastAsia"/>
          <w:szCs w:val="22"/>
          <w:lang w:val="en-US" w:eastAsia="zh-CN"/>
        </w:rPr>
        <w:t>停车场（库）在出入口或停车场（库）内醒目位置，应放置停车场（库）客户咨询联系方式，保障客户能够第一时间获取咨询渠道；</w:t>
      </w:r>
    </w:p>
    <w:p>
      <w:pPr>
        <w:pStyle w:val="28"/>
        <w:keepNext w:val="0"/>
        <w:keepLines w:val="0"/>
        <w:pageBreakBefore w:val="0"/>
        <w:widowControl/>
        <w:numPr>
          <w:ilvl w:val="0"/>
          <w:numId w:val="16"/>
        </w:numPr>
        <w:kinsoku/>
        <w:wordWrap/>
        <w:overflowPunct/>
        <w:topLinePunct w:val="0"/>
        <w:autoSpaceDE w:val="0"/>
        <w:autoSpaceDN w:val="0"/>
        <w:bidi w:val="0"/>
        <w:adjustRightInd/>
        <w:snapToGrid/>
        <w:spacing w:line="360" w:lineRule="auto"/>
        <w:ind w:firstLine="420" w:firstLineChars="200"/>
        <w:textAlignment w:val="auto"/>
        <w:rPr>
          <w:rFonts w:hint="eastAsia"/>
          <w:szCs w:val="22"/>
          <w:lang w:val="en-US" w:eastAsia="zh-CN"/>
        </w:rPr>
      </w:pPr>
      <w:r>
        <w:rPr>
          <w:rFonts w:hint="eastAsia"/>
          <w:szCs w:val="22"/>
          <w:lang w:val="en-US" w:eastAsia="zh-CN"/>
        </w:rPr>
        <w:t>停车场（库）提供咨询联系方式，包括现场人工咨询、线上的电话、APP、微信小程序和微信公共账号等方式，上述任何咨询联系方式应保证营业时段均有效；</w:t>
      </w:r>
    </w:p>
    <w:p>
      <w:pPr>
        <w:pStyle w:val="28"/>
        <w:keepNext w:val="0"/>
        <w:keepLines w:val="0"/>
        <w:pageBreakBefore w:val="0"/>
        <w:widowControl/>
        <w:numPr>
          <w:ilvl w:val="0"/>
          <w:numId w:val="16"/>
        </w:numPr>
        <w:kinsoku/>
        <w:wordWrap/>
        <w:overflowPunct/>
        <w:topLinePunct w:val="0"/>
        <w:autoSpaceDE w:val="0"/>
        <w:autoSpaceDN w:val="0"/>
        <w:bidi w:val="0"/>
        <w:adjustRightInd/>
        <w:snapToGrid/>
        <w:spacing w:line="360" w:lineRule="auto"/>
        <w:ind w:firstLine="420" w:firstLineChars="200"/>
        <w:textAlignment w:val="auto"/>
        <w:rPr>
          <w:rFonts w:hint="eastAsia"/>
          <w:szCs w:val="22"/>
          <w:lang w:val="en-US" w:eastAsia="zh-CN"/>
        </w:rPr>
      </w:pPr>
      <w:r>
        <w:rPr>
          <w:rFonts w:hint="eastAsia"/>
          <w:szCs w:val="22"/>
          <w:lang w:val="en-US" w:eastAsia="zh-CN"/>
        </w:rPr>
        <w:t>客户可对停车场（库）内工作人员发起业务咨询交流，若被咨询工作人员无法回复，应在第一时间联系当班主管给予解答；</w:t>
      </w:r>
    </w:p>
    <w:p>
      <w:pPr>
        <w:pStyle w:val="28"/>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firstLine="630" w:firstLineChars="300"/>
        <w:textAlignment w:val="auto"/>
        <w:rPr>
          <w:rFonts w:hint="eastAsia"/>
          <w:szCs w:val="22"/>
          <w:lang w:val="en-US" w:eastAsia="zh-CN"/>
        </w:rPr>
      </w:pPr>
      <w:r>
        <w:rPr>
          <w:rFonts w:hint="eastAsia"/>
          <w:szCs w:val="22"/>
          <w:lang w:val="en-US" w:eastAsia="zh-CN"/>
        </w:rPr>
        <w:t>1)客户拨打咨询电话，可根据语音提示选择自助或人工咨询服务；</w:t>
      </w:r>
    </w:p>
    <w:p>
      <w:pPr>
        <w:pStyle w:val="28"/>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firstLine="630" w:firstLineChars="300"/>
        <w:textAlignment w:val="auto"/>
        <w:rPr>
          <w:rFonts w:hint="eastAsia"/>
          <w:szCs w:val="22"/>
          <w:lang w:val="en-US" w:eastAsia="zh-CN"/>
        </w:rPr>
      </w:pPr>
      <w:r>
        <w:rPr>
          <w:rFonts w:hint="eastAsia"/>
          <w:szCs w:val="22"/>
          <w:lang w:val="en-US" w:eastAsia="zh-CN"/>
        </w:rPr>
        <w:t>2)客户登录线上服务平台，进入咨询界面可浏览常见问题或留言提问。</w:t>
      </w:r>
    </w:p>
    <w:p>
      <w:pPr>
        <w:pStyle w:val="28"/>
        <w:keepNext w:val="0"/>
        <w:keepLines w:val="0"/>
        <w:pageBreakBefore w:val="0"/>
        <w:widowControl/>
        <w:numPr>
          <w:ilvl w:val="0"/>
          <w:numId w:val="16"/>
        </w:numPr>
        <w:kinsoku/>
        <w:wordWrap/>
        <w:overflowPunct/>
        <w:topLinePunct w:val="0"/>
        <w:autoSpaceDE w:val="0"/>
        <w:autoSpaceDN w:val="0"/>
        <w:bidi w:val="0"/>
        <w:adjustRightInd/>
        <w:snapToGrid/>
        <w:spacing w:line="360" w:lineRule="auto"/>
        <w:ind w:firstLine="420" w:firstLineChars="200"/>
        <w:textAlignment w:val="auto"/>
        <w:rPr>
          <w:rFonts w:hint="eastAsia"/>
          <w:szCs w:val="22"/>
          <w:lang w:val="en-US" w:eastAsia="zh-CN"/>
        </w:rPr>
      </w:pPr>
      <w:r>
        <w:rPr>
          <w:rFonts w:hint="eastAsia"/>
          <w:szCs w:val="22"/>
          <w:lang w:val="en-US" w:eastAsia="zh-CN"/>
        </w:rPr>
        <w:t>客户服务工作应以“首问负责制”为原则开展，不得推诿或再次转出，应做到首问为最终面向客户的出口。做到有序处理和准确及时回复，不可与合作第三方互相推诿扯皮，优先保障客户满意度。</w:t>
      </w:r>
    </w:p>
    <w:p>
      <w:pPr>
        <w:pStyle w:val="28"/>
        <w:keepNext w:val="0"/>
        <w:keepLines w:val="0"/>
        <w:pageBreakBefore w:val="0"/>
        <w:widowControl/>
        <w:numPr>
          <w:ilvl w:val="0"/>
          <w:numId w:val="16"/>
        </w:numPr>
        <w:kinsoku/>
        <w:wordWrap/>
        <w:overflowPunct/>
        <w:topLinePunct w:val="0"/>
        <w:autoSpaceDE w:val="0"/>
        <w:autoSpaceDN w:val="0"/>
        <w:bidi w:val="0"/>
        <w:adjustRightInd/>
        <w:snapToGrid/>
        <w:spacing w:line="360" w:lineRule="auto"/>
        <w:ind w:firstLine="420" w:firstLineChars="200"/>
        <w:textAlignment w:val="auto"/>
        <w:rPr>
          <w:rFonts w:hint="eastAsia"/>
          <w:szCs w:val="22"/>
          <w:lang w:val="en-US" w:eastAsia="zh-CN"/>
        </w:rPr>
      </w:pPr>
      <w:r>
        <w:rPr>
          <w:rFonts w:hint="eastAsia"/>
          <w:szCs w:val="22"/>
          <w:lang w:val="en-US" w:eastAsia="zh-CN"/>
        </w:rPr>
        <w:t>咨询受理时间应采用北京时间，通常为9时至17时，在线客服应答率不应低于90%；</w:t>
      </w:r>
    </w:p>
    <w:p>
      <w:pPr>
        <w:pStyle w:val="28"/>
        <w:keepNext w:val="0"/>
        <w:keepLines w:val="0"/>
        <w:pageBreakBefore w:val="0"/>
        <w:widowControl/>
        <w:numPr>
          <w:ilvl w:val="0"/>
          <w:numId w:val="16"/>
        </w:numPr>
        <w:kinsoku/>
        <w:wordWrap/>
        <w:overflowPunct/>
        <w:topLinePunct w:val="0"/>
        <w:autoSpaceDE w:val="0"/>
        <w:autoSpaceDN w:val="0"/>
        <w:bidi w:val="0"/>
        <w:adjustRightInd/>
        <w:snapToGrid/>
        <w:spacing w:line="360" w:lineRule="auto"/>
        <w:ind w:firstLine="420" w:firstLineChars="200"/>
        <w:textAlignment w:val="auto"/>
        <w:rPr>
          <w:rFonts w:hint="eastAsia"/>
          <w:szCs w:val="22"/>
          <w:lang w:val="en-US" w:eastAsia="zh-CN"/>
        </w:rPr>
      </w:pPr>
      <w:r>
        <w:rPr>
          <w:rFonts w:hint="eastAsia"/>
          <w:szCs w:val="22"/>
          <w:lang w:val="en-US" w:eastAsia="zh-CN"/>
        </w:rPr>
        <w:t>每日应对场地内咨询工作，做好工作记录，为后续咨询热点问题分析提供基础数据支撑，以便持续提升咨询服务质量，同时也便用于后续咨询回溯及运维知识库更新使用；</w:t>
      </w:r>
    </w:p>
    <w:p>
      <w:pPr>
        <w:pStyle w:val="28"/>
        <w:keepNext w:val="0"/>
        <w:keepLines w:val="0"/>
        <w:pageBreakBefore w:val="0"/>
        <w:widowControl/>
        <w:numPr>
          <w:ilvl w:val="0"/>
          <w:numId w:val="16"/>
        </w:numPr>
        <w:kinsoku/>
        <w:wordWrap/>
        <w:overflowPunct/>
        <w:topLinePunct w:val="0"/>
        <w:autoSpaceDE w:val="0"/>
        <w:autoSpaceDN w:val="0"/>
        <w:bidi w:val="0"/>
        <w:adjustRightInd/>
        <w:snapToGrid/>
        <w:spacing w:line="360" w:lineRule="auto"/>
        <w:ind w:firstLine="420" w:firstLineChars="200"/>
        <w:textAlignment w:val="auto"/>
        <w:rPr>
          <w:rFonts w:hint="eastAsia"/>
          <w:szCs w:val="22"/>
          <w:lang w:val="en-US" w:eastAsia="zh-CN"/>
        </w:rPr>
      </w:pPr>
      <w:r>
        <w:rPr>
          <w:rFonts w:hint="eastAsia"/>
          <w:szCs w:val="22"/>
          <w:lang w:val="en-US" w:eastAsia="zh-CN"/>
        </w:rPr>
        <w:t>辽宁ETC发行机构，应对每起咨询案件给予坐席服务满意度回访评价。</w:t>
      </w:r>
    </w:p>
    <w:p>
      <w:pPr>
        <w:pStyle w:val="30"/>
        <w:bidi w:val="0"/>
        <w:ind w:left="0" w:leftChars="0" w:firstLine="0" w:firstLineChars="0"/>
        <w:rPr>
          <w:rFonts w:hint="eastAsia"/>
          <w:lang w:val="en-US" w:eastAsia="zh-CN"/>
        </w:rPr>
      </w:pPr>
      <w:bookmarkStart w:id="105" w:name="_Toc13803"/>
      <w:r>
        <w:rPr>
          <w:rFonts w:hint="eastAsia"/>
          <w:lang w:val="en-US" w:eastAsia="zh-CN"/>
        </w:rPr>
        <w:t>停车场（库）ETC停车业务投诉</w:t>
      </w:r>
      <w:bookmarkEnd w:id="105"/>
    </w:p>
    <w:p>
      <w:pPr>
        <w:pStyle w:val="31"/>
        <w:bidi w:val="0"/>
        <w:ind w:left="0" w:leftChars="0" w:firstLine="0" w:firstLineChars="0"/>
        <w:rPr>
          <w:rFonts w:hint="eastAsia"/>
          <w:lang w:val="en-US" w:eastAsia="zh-CN"/>
        </w:rPr>
      </w:pPr>
      <w:bookmarkStart w:id="106" w:name="_Toc11935"/>
      <w:r>
        <w:rPr>
          <w:rFonts w:hint="eastAsia"/>
          <w:lang w:val="en-US" w:eastAsia="zh-CN"/>
        </w:rPr>
        <w:t>目的</w:t>
      </w:r>
      <w:bookmarkEnd w:id="106"/>
    </w:p>
    <w:p>
      <w:pPr>
        <w:pStyle w:val="28"/>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firstLine="420" w:firstLineChars="200"/>
        <w:textAlignment w:val="auto"/>
        <w:rPr>
          <w:rFonts w:hint="eastAsia"/>
          <w:szCs w:val="22"/>
          <w:lang w:val="en-US" w:eastAsia="zh-CN"/>
        </w:rPr>
      </w:pPr>
      <w:r>
        <w:rPr>
          <w:rFonts w:hint="eastAsia"/>
          <w:szCs w:val="22"/>
          <w:lang w:val="en-US" w:eastAsia="zh-CN"/>
        </w:rPr>
        <w:t>及时有效解决客户对停车场（库）ETC停车服务相关服务的不满，确保客户ETC停车收费准确、通行畅通，以及相关合理化建议的采集。</w:t>
      </w:r>
    </w:p>
    <w:p>
      <w:pPr>
        <w:pStyle w:val="31"/>
        <w:bidi w:val="0"/>
        <w:ind w:left="0" w:leftChars="0" w:firstLine="0" w:firstLineChars="0"/>
        <w:rPr>
          <w:rFonts w:hint="eastAsia"/>
          <w:lang w:val="en-US" w:eastAsia="zh-CN"/>
        </w:rPr>
      </w:pPr>
      <w:bookmarkStart w:id="107" w:name="_Toc11988"/>
      <w:r>
        <w:rPr>
          <w:rFonts w:hint="eastAsia"/>
          <w:lang w:val="en-US" w:eastAsia="zh-CN"/>
        </w:rPr>
        <w:t>范围</w:t>
      </w:r>
      <w:bookmarkEnd w:id="107"/>
    </w:p>
    <w:p>
      <w:pPr>
        <w:pStyle w:val="28"/>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firstLine="420" w:firstLineChars="200"/>
        <w:textAlignment w:val="auto"/>
        <w:rPr>
          <w:rFonts w:hint="eastAsia"/>
          <w:szCs w:val="22"/>
          <w:lang w:val="en-US" w:eastAsia="zh-CN"/>
        </w:rPr>
      </w:pPr>
      <w:r>
        <w:rPr>
          <w:rFonts w:hint="eastAsia"/>
          <w:szCs w:val="22"/>
          <w:lang w:val="en-US" w:eastAsia="zh-CN"/>
        </w:rPr>
        <w:t>对本停车场（库）内的ETC停车服务相关业务提供投诉服务。</w:t>
      </w:r>
    </w:p>
    <w:p>
      <w:pPr>
        <w:pStyle w:val="28"/>
        <w:keepNext w:val="0"/>
        <w:keepLines w:val="0"/>
        <w:pageBreakBefore w:val="0"/>
        <w:widowControl/>
        <w:numPr>
          <w:ilvl w:val="0"/>
          <w:numId w:val="17"/>
        </w:numPr>
        <w:kinsoku/>
        <w:wordWrap/>
        <w:overflowPunct/>
        <w:topLinePunct w:val="0"/>
        <w:autoSpaceDE w:val="0"/>
        <w:autoSpaceDN w:val="0"/>
        <w:bidi w:val="0"/>
        <w:adjustRightInd/>
        <w:snapToGrid/>
        <w:spacing w:line="360" w:lineRule="auto"/>
        <w:ind w:firstLine="420" w:firstLineChars="200"/>
        <w:textAlignment w:val="auto"/>
        <w:rPr>
          <w:rFonts w:hint="eastAsia"/>
          <w:szCs w:val="22"/>
          <w:lang w:val="en-US" w:eastAsia="zh-CN"/>
        </w:rPr>
      </w:pPr>
      <w:r>
        <w:rPr>
          <w:rFonts w:hint="eastAsia"/>
          <w:szCs w:val="22"/>
          <w:lang w:val="en-US" w:eastAsia="zh-CN"/>
        </w:rPr>
        <w:t>业务投诉服务重点项目包括：ETC支付出场引导投诉、ETC停车支付效率低投诉、ETC停车扣费异常投诉和ETC车道支付设施异常投诉；</w:t>
      </w:r>
    </w:p>
    <w:p>
      <w:pPr>
        <w:pStyle w:val="28"/>
        <w:keepNext w:val="0"/>
        <w:keepLines w:val="0"/>
        <w:pageBreakBefore w:val="0"/>
        <w:widowControl/>
        <w:numPr>
          <w:ilvl w:val="0"/>
          <w:numId w:val="17"/>
        </w:numPr>
        <w:kinsoku/>
        <w:wordWrap/>
        <w:overflowPunct/>
        <w:topLinePunct w:val="0"/>
        <w:autoSpaceDE w:val="0"/>
        <w:autoSpaceDN w:val="0"/>
        <w:bidi w:val="0"/>
        <w:adjustRightInd/>
        <w:snapToGrid/>
        <w:spacing w:line="360" w:lineRule="auto"/>
        <w:ind w:firstLine="420" w:firstLineChars="200"/>
        <w:textAlignment w:val="auto"/>
        <w:rPr>
          <w:rFonts w:hint="eastAsia"/>
          <w:szCs w:val="22"/>
          <w:lang w:val="en-US" w:eastAsia="zh-CN"/>
        </w:rPr>
      </w:pPr>
      <w:r>
        <w:rPr>
          <w:rFonts w:hint="eastAsia"/>
          <w:szCs w:val="22"/>
          <w:lang w:val="en-US" w:eastAsia="zh-CN"/>
        </w:rPr>
        <w:t>运维工作过程记录与归档。</w:t>
      </w:r>
    </w:p>
    <w:p>
      <w:pPr>
        <w:pStyle w:val="31"/>
        <w:bidi w:val="0"/>
        <w:ind w:left="0" w:leftChars="0" w:firstLine="0" w:firstLineChars="0"/>
        <w:rPr>
          <w:rFonts w:hint="eastAsia"/>
          <w:lang w:val="en-US" w:eastAsia="zh-CN"/>
        </w:rPr>
      </w:pPr>
      <w:bookmarkStart w:id="108" w:name="_Toc26163"/>
      <w:r>
        <w:rPr>
          <w:rFonts w:hint="eastAsia"/>
          <w:lang w:val="en-US" w:eastAsia="zh-CN"/>
        </w:rPr>
        <w:t>要求</w:t>
      </w:r>
      <w:bookmarkEnd w:id="108"/>
    </w:p>
    <w:p>
      <w:pPr>
        <w:pStyle w:val="28"/>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firstLine="420" w:firstLineChars="200"/>
        <w:textAlignment w:val="auto"/>
        <w:rPr>
          <w:rFonts w:hint="default"/>
          <w:szCs w:val="22"/>
          <w:lang w:val="en-US" w:eastAsia="zh-CN"/>
        </w:rPr>
      </w:pPr>
      <w:r>
        <w:rPr>
          <w:rFonts w:hint="eastAsia"/>
          <w:szCs w:val="22"/>
          <w:lang w:val="en-US" w:eastAsia="zh-CN"/>
        </w:rPr>
        <w:t>停车场（库）ETC停车业务投诉应满足下列要求。</w:t>
      </w:r>
    </w:p>
    <w:p>
      <w:pPr>
        <w:pStyle w:val="28"/>
        <w:keepNext w:val="0"/>
        <w:keepLines w:val="0"/>
        <w:pageBreakBefore w:val="0"/>
        <w:widowControl/>
        <w:numPr>
          <w:ilvl w:val="0"/>
          <w:numId w:val="18"/>
        </w:numPr>
        <w:kinsoku/>
        <w:wordWrap/>
        <w:overflowPunct/>
        <w:topLinePunct w:val="0"/>
        <w:autoSpaceDE w:val="0"/>
        <w:autoSpaceDN w:val="0"/>
        <w:bidi w:val="0"/>
        <w:adjustRightInd/>
        <w:snapToGrid/>
        <w:spacing w:line="360" w:lineRule="auto"/>
        <w:ind w:firstLine="420" w:firstLineChars="200"/>
        <w:textAlignment w:val="auto"/>
        <w:rPr>
          <w:rFonts w:hint="eastAsia"/>
          <w:szCs w:val="22"/>
          <w:lang w:val="en-US" w:eastAsia="zh-CN"/>
        </w:rPr>
      </w:pPr>
      <w:r>
        <w:rPr>
          <w:rFonts w:hint="eastAsia"/>
          <w:szCs w:val="22"/>
          <w:lang w:val="en-US" w:eastAsia="zh-CN"/>
        </w:rPr>
        <w:t>停车场（库）在出入口或停车场（库）内醒目位置，应放置停车场（库）客户投诉方式，保障客户能够第一时间获取投诉渠道；</w:t>
      </w:r>
    </w:p>
    <w:p>
      <w:pPr>
        <w:pStyle w:val="28"/>
        <w:keepNext w:val="0"/>
        <w:keepLines w:val="0"/>
        <w:pageBreakBefore w:val="0"/>
        <w:widowControl/>
        <w:numPr>
          <w:ilvl w:val="0"/>
          <w:numId w:val="18"/>
        </w:numPr>
        <w:kinsoku/>
        <w:wordWrap/>
        <w:overflowPunct/>
        <w:topLinePunct w:val="0"/>
        <w:autoSpaceDE w:val="0"/>
        <w:autoSpaceDN w:val="0"/>
        <w:bidi w:val="0"/>
        <w:adjustRightInd/>
        <w:snapToGrid/>
        <w:spacing w:line="360" w:lineRule="auto"/>
        <w:ind w:firstLine="420" w:firstLineChars="200"/>
        <w:textAlignment w:val="auto"/>
        <w:rPr>
          <w:rFonts w:hint="eastAsia"/>
          <w:szCs w:val="22"/>
          <w:lang w:val="en-US" w:eastAsia="zh-CN"/>
        </w:rPr>
      </w:pPr>
      <w:r>
        <w:rPr>
          <w:rFonts w:hint="eastAsia"/>
          <w:szCs w:val="22"/>
          <w:lang w:val="en-US" w:eastAsia="zh-CN"/>
        </w:rPr>
        <w:t>停车场（库）提供现场人工投诉与线上电话投诉方式；</w:t>
      </w:r>
    </w:p>
    <w:p>
      <w:pPr>
        <w:pStyle w:val="28"/>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left="420" w:leftChars="0" w:firstLine="420" w:firstLineChars="200"/>
        <w:textAlignment w:val="auto"/>
        <w:rPr>
          <w:rFonts w:hint="eastAsia"/>
          <w:szCs w:val="22"/>
          <w:lang w:val="en-US" w:eastAsia="zh-CN"/>
        </w:rPr>
      </w:pPr>
      <w:r>
        <w:rPr>
          <w:rFonts w:hint="eastAsia"/>
          <w:szCs w:val="22"/>
          <w:lang w:val="en-US" w:eastAsia="zh-CN"/>
        </w:rPr>
        <w:t>1)客户可对停车场（库）内工作人员发起服务投诉，若应答工作人员无法解决，应在第一时间联系当班主管给予对应，或上报停车场（库）内管理部门；</w:t>
      </w:r>
    </w:p>
    <w:p>
      <w:pPr>
        <w:pStyle w:val="28"/>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left="420" w:leftChars="0" w:firstLine="420" w:firstLineChars="200"/>
        <w:textAlignment w:val="auto"/>
        <w:rPr>
          <w:rFonts w:hint="eastAsia"/>
          <w:szCs w:val="22"/>
          <w:lang w:val="en-US" w:eastAsia="zh-CN"/>
        </w:rPr>
      </w:pPr>
      <w:r>
        <w:rPr>
          <w:rFonts w:hint="eastAsia"/>
          <w:szCs w:val="22"/>
          <w:lang w:val="en-US" w:eastAsia="zh-CN"/>
        </w:rPr>
        <w:t>2)客户拨打投诉电话，直接进行人工投诉服务。</w:t>
      </w:r>
    </w:p>
    <w:p>
      <w:pPr>
        <w:pStyle w:val="28"/>
        <w:keepNext w:val="0"/>
        <w:keepLines w:val="0"/>
        <w:pageBreakBefore w:val="0"/>
        <w:widowControl/>
        <w:numPr>
          <w:ilvl w:val="0"/>
          <w:numId w:val="18"/>
        </w:numPr>
        <w:kinsoku/>
        <w:wordWrap/>
        <w:overflowPunct/>
        <w:topLinePunct w:val="0"/>
        <w:autoSpaceDE w:val="0"/>
        <w:autoSpaceDN w:val="0"/>
        <w:bidi w:val="0"/>
        <w:adjustRightInd/>
        <w:snapToGrid/>
        <w:spacing w:line="360" w:lineRule="auto"/>
        <w:ind w:firstLine="420" w:firstLineChars="200"/>
        <w:textAlignment w:val="auto"/>
        <w:rPr>
          <w:rFonts w:hint="eastAsia"/>
          <w:szCs w:val="22"/>
          <w:lang w:val="en-US" w:eastAsia="zh-CN"/>
        </w:rPr>
      </w:pPr>
      <w:r>
        <w:rPr>
          <w:rFonts w:hint="eastAsia"/>
          <w:szCs w:val="22"/>
          <w:lang w:val="en-US" w:eastAsia="zh-CN"/>
        </w:rPr>
        <w:t>客户投诉处理应当坚持“客户优先”的原则，确保任何时候客户正当利益不受损害；</w:t>
      </w:r>
    </w:p>
    <w:p>
      <w:pPr>
        <w:pStyle w:val="28"/>
        <w:keepNext w:val="0"/>
        <w:keepLines w:val="0"/>
        <w:pageBreakBefore w:val="0"/>
        <w:widowControl/>
        <w:numPr>
          <w:ilvl w:val="0"/>
          <w:numId w:val="18"/>
        </w:numPr>
        <w:kinsoku/>
        <w:wordWrap/>
        <w:overflowPunct/>
        <w:topLinePunct w:val="0"/>
        <w:autoSpaceDE w:val="0"/>
        <w:autoSpaceDN w:val="0"/>
        <w:bidi w:val="0"/>
        <w:adjustRightInd/>
        <w:snapToGrid/>
        <w:spacing w:line="360" w:lineRule="auto"/>
        <w:ind w:firstLine="420" w:firstLineChars="200"/>
        <w:textAlignment w:val="auto"/>
        <w:rPr>
          <w:rFonts w:hint="eastAsia"/>
          <w:szCs w:val="22"/>
          <w:lang w:val="en-US" w:eastAsia="zh-CN"/>
        </w:rPr>
      </w:pPr>
      <w:r>
        <w:rPr>
          <w:rFonts w:hint="eastAsia"/>
          <w:szCs w:val="22"/>
          <w:lang w:val="en-US" w:eastAsia="zh-CN"/>
        </w:rPr>
        <w:t>客户投诉处理应当实行“首问负责制”的原则，以停车场和被投诉方作为主体。做到有序处理和准确及时回复，不可与合作第三方互相推诿扯皮，优先保障客户满意度；</w:t>
      </w:r>
    </w:p>
    <w:p>
      <w:pPr>
        <w:pStyle w:val="28"/>
        <w:keepNext w:val="0"/>
        <w:keepLines w:val="0"/>
        <w:pageBreakBefore w:val="0"/>
        <w:widowControl/>
        <w:numPr>
          <w:ilvl w:val="0"/>
          <w:numId w:val="18"/>
        </w:numPr>
        <w:kinsoku/>
        <w:wordWrap/>
        <w:overflowPunct/>
        <w:topLinePunct w:val="0"/>
        <w:autoSpaceDE w:val="0"/>
        <w:autoSpaceDN w:val="0"/>
        <w:bidi w:val="0"/>
        <w:adjustRightInd/>
        <w:snapToGrid/>
        <w:spacing w:line="360" w:lineRule="auto"/>
        <w:ind w:firstLine="420" w:firstLineChars="200"/>
        <w:textAlignment w:val="auto"/>
        <w:rPr>
          <w:rFonts w:hint="eastAsia"/>
          <w:szCs w:val="22"/>
          <w:lang w:val="en-US" w:eastAsia="zh-CN"/>
        </w:rPr>
      </w:pPr>
      <w:r>
        <w:rPr>
          <w:rFonts w:hint="eastAsia"/>
          <w:szCs w:val="22"/>
          <w:lang w:val="en-US" w:eastAsia="zh-CN"/>
        </w:rPr>
        <w:t>客户投诉处理应当按照统一标准组织实施，确保处理标准化、规范化及专业化；</w:t>
      </w:r>
    </w:p>
    <w:p>
      <w:pPr>
        <w:pStyle w:val="28"/>
        <w:keepNext w:val="0"/>
        <w:keepLines w:val="0"/>
        <w:pageBreakBefore w:val="0"/>
        <w:widowControl/>
        <w:numPr>
          <w:ilvl w:val="0"/>
          <w:numId w:val="18"/>
        </w:numPr>
        <w:kinsoku/>
        <w:wordWrap/>
        <w:overflowPunct/>
        <w:topLinePunct w:val="0"/>
        <w:autoSpaceDE w:val="0"/>
        <w:autoSpaceDN w:val="0"/>
        <w:bidi w:val="0"/>
        <w:adjustRightInd/>
        <w:snapToGrid/>
        <w:spacing w:line="360" w:lineRule="auto"/>
        <w:ind w:firstLine="420" w:firstLineChars="200"/>
        <w:textAlignment w:val="auto"/>
        <w:rPr>
          <w:rFonts w:hint="eastAsia"/>
          <w:szCs w:val="22"/>
          <w:lang w:val="en-US" w:eastAsia="zh-CN"/>
        </w:rPr>
      </w:pPr>
      <w:r>
        <w:rPr>
          <w:rFonts w:hint="eastAsia"/>
          <w:szCs w:val="22"/>
          <w:lang w:val="en-US" w:eastAsia="zh-CN"/>
        </w:rPr>
        <w:t>客户投诉受理应包括：ETC停车费争议投诉、ETC通行异常投诉、ETC停车服务改善意见投诉和其他投诉等；</w:t>
      </w:r>
    </w:p>
    <w:p>
      <w:pPr>
        <w:pStyle w:val="28"/>
        <w:keepNext w:val="0"/>
        <w:keepLines w:val="0"/>
        <w:pageBreakBefore w:val="0"/>
        <w:widowControl/>
        <w:numPr>
          <w:ilvl w:val="0"/>
          <w:numId w:val="18"/>
        </w:numPr>
        <w:kinsoku/>
        <w:wordWrap/>
        <w:overflowPunct/>
        <w:topLinePunct w:val="0"/>
        <w:autoSpaceDE w:val="0"/>
        <w:autoSpaceDN w:val="0"/>
        <w:bidi w:val="0"/>
        <w:adjustRightInd/>
        <w:snapToGrid/>
        <w:spacing w:line="360" w:lineRule="auto"/>
        <w:ind w:firstLine="420" w:firstLineChars="200"/>
        <w:textAlignment w:val="auto"/>
        <w:rPr>
          <w:rFonts w:hint="eastAsia"/>
          <w:szCs w:val="22"/>
          <w:lang w:val="en-US" w:eastAsia="zh-CN"/>
        </w:rPr>
      </w:pPr>
      <w:r>
        <w:rPr>
          <w:rFonts w:hint="eastAsia"/>
          <w:szCs w:val="22"/>
          <w:lang w:val="en-US" w:eastAsia="zh-CN"/>
        </w:rPr>
        <w:t>停车场（库）应当妥善保管并及时提供与投诉处理相关的车辆通行记录、车道日志、车辆图像、视频音频资料和电话录音等证据，保存期不少于6个月，未按要求提供或者无法提供相关资料的承担相应责任；</w:t>
      </w:r>
    </w:p>
    <w:p>
      <w:pPr>
        <w:pStyle w:val="28"/>
        <w:keepNext w:val="0"/>
        <w:keepLines w:val="0"/>
        <w:pageBreakBefore w:val="0"/>
        <w:widowControl/>
        <w:numPr>
          <w:ilvl w:val="0"/>
          <w:numId w:val="18"/>
        </w:numPr>
        <w:kinsoku/>
        <w:wordWrap/>
        <w:overflowPunct/>
        <w:topLinePunct w:val="0"/>
        <w:autoSpaceDE w:val="0"/>
        <w:autoSpaceDN w:val="0"/>
        <w:bidi w:val="0"/>
        <w:adjustRightInd/>
        <w:snapToGrid/>
        <w:spacing w:line="360" w:lineRule="auto"/>
        <w:ind w:firstLine="420" w:firstLineChars="200"/>
        <w:textAlignment w:val="auto"/>
        <w:rPr>
          <w:rFonts w:hint="eastAsia"/>
          <w:szCs w:val="22"/>
          <w:lang w:val="en-US" w:eastAsia="zh-CN"/>
        </w:rPr>
      </w:pPr>
      <w:r>
        <w:rPr>
          <w:rFonts w:hint="eastAsia"/>
          <w:szCs w:val="22"/>
          <w:lang w:val="en-US" w:eastAsia="zh-CN"/>
        </w:rPr>
        <w:t>客户投诉处理应当基于核实验证过的证据组织实施。如各参与方无法提供免责证据，则推定该参与方有责，判定责任方后，由该责任方进行处理和整改。如因客观原因导致的投诉，发行服务机构应当主动向客户解释，寻求谅解；</w:t>
      </w:r>
    </w:p>
    <w:p>
      <w:pPr>
        <w:pStyle w:val="28"/>
        <w:keepNext w:val="0"/>
        <w:keepLines w:val="0"/>
        <w:pageBreakBefore w:val="0"/>
        <w:widowControl/>
        <w:numPr>
          <w:ilvl w:val="0"/>
          <w:numId w:val="18"/>
        </w:numPr>
        <w:kinsoku/>
        <w:wordWrap/>
        <w:overflowPunct/>
        <w:topLinePunct w:val="0"/>
        <w:autoSpaceDE w:val="0"/>
        <w:autoSpaceDN w:val="0"/>
        <w:bidi w:val="0"/>
        <w:adjustRightInd/>
        <w:snapToGrid/>
        <w:spacing w:line="360" w:lineRule="auto"/>
        <w:ind w:firstLine="420" w:firstLineChars="200"/>
        <w:textAlignment w:val="auto"/>
        <w:rPr>
          <w:rFonts w:hint="eastAsia"/>
          <w:szCs w:val="22"/>
          <w:lang w:val="en-US" w:eastAsia="zh-CN"/>
        </w:rPr>
      </w:pPr>
      <w:r>
        <w:rPr>
          <w:rFonts w:hint="eastAsia"/>
          <w:szCs w:val="22"/>
          <w:lang w:val="en-US" w:eastAsia="zh-CN"/>
        </w:rPr>
        <w:t>投诉处理时间采用北京时间，通常为9时至17时，不包含国家法定节假日（元旦、春节、清明节、劳动节、端午节、中秋节和国庆节），如遇到上述日期，视投诉内容而定，如涉及到停车场（库）内服务投诉应立即响应，其他场景仅作投诉受理，投诉处理工作日期顺延；</w:t>
      </w:r>
    </w:p>
    <w:p>
      <w:pPr>
        <w:pStyle w:val="28"/>
        <w:keepNext w:val="0"/>
        <w:keepLines w:val="0"/>
        <w:pageBreakBefore w:val="0"/>
        <w:widowControl/>
        <w:numPr>
          <w:ilvl w:val="0"/>
          <w:numId w:val="18"/>
        </w:numPr>
        <w:kinsoku/>
        <w:wordWrap/>
        <w:overflowPunct/>
        <w:topLinePunct w:val="0"/>
        <w:autoSpaceDE w:val="0"/>
        <w:autoSpaceDN w:val="0"/>
        <w:bidi w:val="0"/>
        <w:adjustRightInd/>
        <w:snapToGrid/>
        <w:spacing w:line="360" w:lineRule="auto"/>
        <w:ind w:firstLine="420" w:firstLineChars="200"/>
        <w:textAlignment w:val="auto"/>
        <w:rPr>
          <w:rFonts w:hint="eastAsia"/>
          <w:szCs w:val="22"/>
          <w:lang w:val="en-US" w:eastAsia="zh-CN"/>
        </w:rPr>
      </w:pPr>
      <w:r>
        <w:rPr>
          <w:rFonts w:hint="eastAsia"/>
          <w:szCs w:val="22"/>
          <w:lang w:val="en-US" w:eastAsia="zh-CN"/>
        </w:rPr>
        <w:t>每日应对场地内投诉工作，做好工作记录，为后续投诉热点问题分析、投诉问题处理响应和投诉问题处理评价等提供基础数据支撑，以便持续提升投诉受理服务质量，同时也便用于后续投诉回溯及运维知识库更新使用；</w:t>
      </w:r>
    </w:p>
    <w:p>
      <w:pPr>
        <w:pStyle w:val="28"/>
        <w:keepNext w:val="0"/>
        <w:keepLines w:val="0"/>
        <w:pageBreakBefore w:val="0"/>
        <w:widowControl/>
        <w:numPr>
          <w:ilvl w:val="0"/>
          <w:numId w:val="18"/>
        </w:numPr>
        <w:kinsoku/>
        <w:wordWrap/>
        <w:overflowPunct/>
        <w:topLinePunct w:val="0"/>
        <w:autoSpaceDE w:val="0"/>
        <w:autoSpaceDN w:val="0"/>
        <w:bidi w:val="0"/>
        <w:adjustRightInd/>
        <w:snapToGrid/>
        <w:spacing w:line="360" w:lineRule="auto"/>
        <w:ind w:firstLine="420" w:firstLineChars="200"/>
        <w:textAlignment w:val="auto"/>
        <w:rPr>
          <w:rFonts w:hint="eastAsia"/>
          <w:szCs w:val="22"/>
          <w:lang w:val="en-US" w:eastAsia="zh-CN"/>
        </w:rPr>
      </w:pPr>
      <w:r>
        <w:rPr>
          <w:rFonts w:hint="eastAsia"/>
          <w:szCs w:val="22"/>
          <w:lang w:val="en-US" w:eastAsia="zh-CN"/>
        </w:rPr>
        <w:t>辽宁ETC发行机构，应对每起投诉案件给予坐席服务满意度回访评价。</w:t>
      </w:r>
    </w:p>
    <w:p>
      <w:pPr>
        <w:pStyle w:val="31"/>
        <w:bidi w:val="0"/>
        <w:ind w:left="0" w:leftChars="0" w:firstLine="0" w:firstLineChars="0"/>
        <w:rPr>
          <w:rFonts w:hint="eastAsia"/>
          <w:lang w:val="en-US" w:eastAsia="zh-CN"/>
        </w:rPr>
      </w:pPr>
      <w:bookmarkStart w:id="109" w:name="_Toc29520"/>
      <w:r>
        <w:rPr>
          <w:rFonts w:hint="eastAsia"/>
          <w:lang w:val="en-US" w:eastAsia="zh-CN"/>
        </w:rPr>
        <w:t>流程</w:t>
      </w:r>
      <w:bookmarkEnd w:id="109"/>
    </w:p>
    <w:p>
      <w:pPr>
        <w:pStyle w:val="28"/>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firstLine="420" w:firstLineChars="200"/>
        <w:textAlignment w:val="auto"/>
        <w:rPr>
          <w:rFonts w:hint="eastAsia"/>
          <w:szCs w:val="22"/>
          <w:lang w:val="en-US" w:eastAsia="zh-CN"/>
        </w:rPr>
      </w:pPr>
      <w:r>
        <w:rPr>
          <w:rFonts w:hint="eastAsia"/>
          <w:szCs w:val="22"/>
          <w:lang w:val="en-US" w:eastAsia="zh-CN"/>
        </w:rPr>
        <w:t>停车场（库）ETC停车业务投诉应满足下列流程。</w:t>
      </w:r>
    </w:p>
    <w:p>
      <w:pPr>
        <w:pStyle w:val="28"/>
        <w:keepNext w:val="0"/>
        <w:keepLines w:val="0"/>
        <w:pageBreakBefore w:val="0"/>
        <w:widowControl/>
        <w:numPr>
          <w:ilvl w:val="0"/>
          <w:numId w:val="19"/>
        </w:numPr>
        <w:kinsoku/>
        <w:wordWrap/>
        <w:overflowPunct/>
        <w:topLinePunct w:val="0"/>
        <w:autoSpaceDE w:val="0"/>
        <w:autoSpaceDN w:val="0"/>
        <w:bidi w:val="0"/>
        <w:adjustRightInd/>
        <w:snapToGrid/>
        <w:spacing w:line="360" w:lineRule="auto"/>
        <w:ind w:firstLine="420" w:firstLineChars="200"/>
        <w:textAlignment w:val="auto"/>
        <w:rPr>
          <w:rFonts w:hint="eastAsia"/>
          <w:szCs w:val="22"/>
          <w:lang w:val="en-US" w:eastAsia="zh-CN"/>
        </w:rPr>
      </w:pPr>
      <w:r>
        <w:rPr>
          <w:rFonts w:hint="eastAsia"/>
          <w:szCs w:val="22"/>
          <w:lang w:val="en-US" w:eastAsia="zh-CN"/>
        </w:rPr>
        <w:t>客户投诉处理按照预受理、受理、处理、回复、结案、回访、判责和归档等程序组织实施；</w:t>
      </w:r>
    </w:p>
    <w:p>
      <w:pPr>
        <w:pStyle w:val="28"/>
        <w:keepNext w:val="0"/>
        <w:keepLines w:val="0"/>
        <w:pageBreakBefore w:val="0"/>
        <w:widowControl/>
        <w:numPr>
          <w:ilvl w:val="0"/>
          <w:numId w:val="19"/>
        </w:numPr>
        <w:kinsoku/>
        <w:wordWrap/>
        <w:overflowPunct/>
        <w:topLinePunct w:val="0"/>
        <w:autoSpaceDE w:val="0"/>
        <w:autoSpaceDN w:val="0"/>
        <w:bidi w:val="0"/>
        <w:adjustRightInd/>
        <w:snapToGrid/>
        <w:spacing w:line="360" w:lineRule="auto"/>
        <w:ind w:firstLine="420" w:firstLineChars="200"/>
        <w:textAlignment w:val="auto"/>
        <w:rPr>
          <w:rFonts w:hint="eastAsia"/>
          <w:szCs w:val="22"/>
          <w:lang w:val="en-US" w:eastAsia="zh-CN"/>
        </w:rPr>
      </w:pPr>
      <w:r>
        <w:rPr>
          <w:rFonts w:hint="eastAsia"/>
          <w:szCs w:val="22"/>
          <w:lang w:val="en-US" w:eastAsia="zh-CN"/>
        </w:rPr>
        <w:t>投诉预受理人员在预受理客户投诉时，应当首先对客户进行安抚，并请求客户提供相关证据，留存客户来电录音、现场投诉记录签字等；收集到的相关证据资料，并当实时录入投诉预受理工单；</w:t>
      </w:r>
    </w:p>
    <w:p>
      <w:pPr>
        <w:pStyle w:val="28"/>
        <w:keepNext w:val="0"/>
        <w:keepLines w:val="0"/>
        <w:pageBreakBefore w:val="0"/>
        <w:widowControl/>
        <w:numPr>
          <w:ilvl w:val="0"/>
          <w:numId w:val="19"/>
        </w:numPr>
        <w:kinsoku/>
        <w:wordWrap/>
        <w:overflowPunct/>
        <w:topLinePunct w:val="0"/>
        <w:autoSpaceDE w:val="0"/>
        <w:autoSpaceDN w:val="0"/>
        <w:bidi w:val="0"/>
        <w:adjustRightInd/>
        <w:snapToGrid/>
        <w:spacing w:line="360" w:lineRule="auto"/>
        <w:ind w:firstLine="420" w:firstLineChars="200"/>
        <w:textAlignment w:val="auto"/>
        <w:rPr>
          <w:rFonts w:hint="eastAsia"/>
          <w:szCs w:val="22"/>
          <w:lang w:val="en-US" w:eastAsia="zh-CN"/>
        </w:rPr>
      </w:pPr>
      <w:r>
        <w:rPr>
          <w:rFonts w:hint="eastAsia"/>
          <w:szCs w:val="22"/>
          <w:lang w:val="en-US" w:eastAsia="zh-CN"/>
        </w:rPr>
        <w:t>投诉预受理人员应当在投诉工单中记录客户投诉信息，主要包括基本信息（姓名、车牌号、ETC卡号和联系方式等）、事件发生时间（尽量准确填写）、事件发生地点、事件描述和主要诉求等。涉及停车费争议或通行异常投诉时，还应当记录出场时间、停车场（库）名称、收费口编号、车类型、ETC扣费金额和收到扣款短信时间等。同一客户投诉多个事件时，应当分别提交预受理工单；</w:t>
      </w:r>
    </w:p>
    <w:p>
      <w:pPr>
        <w:pStyle w:val="28"/>
        <w:keepNext w:val="0"/>
        <w:keepLines w:val="0"/>
        <w:pageBreakBefore w:val="0"/>
        <w:widowControl/>
        <w:numPr>
          <w:ilvl w:val="0"/>
          <w:numId w:val="19"/>
        </w:numPr>
        <w:kinsoku/>
        <w:wordWrap/>
        <w:overflowPunct/>
        <w:topLinePunct w:val="0"/>
        <w:autoSpaceDE w:val="0"/>
        <w:autoSpaceDN w:val="0"/>
        <w:bidi w:val="0"/>
        <w:adjustRightInd/>
        <w:snapToGrid/>
        <w:spacing w:line="360" w:lineRule="auto"/>
        <w:ind w:firstLine="420" w:firstLineChars="200"/>
        <w:textAlignment w:val="auto"/>
        <w:rPr>
          <w:rFonts w:hint="eastAsia"/>
          <w:szCs w:val="22"/>
          <w:lang w:val="en-US" w:eastAsia="zh-CN"/>
        </w:rPr>
      </w:pPr>
      <w:r>
        <w:rPr>
          <w:rFonts w:hint="eastAsia"/>
          <w:szCs w:val="22"/>
          <w:lang w:val="en-US" w:eastAsia="zh-CN"/>
        </w:rPr>
        <w:t>投诉预受理人员应当在分类整理的基础上及时将客户投诉处理相关资料归档留存；</w:t>
      </w:r>
    </w:p>
    <w:p>
      <w:pPr>
        <w:pStyle w:val="28"/>
        <w:keepNext w:val="0"/>
        <w:keepLines w:val="0"/>
        <w:pageBreakBefore w:val="0"/>
        <w:widowControl/>
        <w:numPr>
          <w:ilvl w:val="0"/>
          <w:numId w:val="19"/>
        </w:numPr>
        <w:kinsoku/>
        <w:wordWrap/>
        <w:overflowPunct/>
        <w:topLinePunct w:val="0"/>
        <w:autoSpaceDE w:val="0"/>
        <w:autoSpaceDN w:val="0"/>
        <w:bidi w:val="0"/>
        <w:adjustRightInd/>
        <w:snapToGrid/>
        <w:spacing w:line="360" w:lineRule="auto"/>
        <w:ind w:firstLine="420" w:firstLineChars="200"/>
        <w:textAlignment w:val="auto"/>
        <w:rPr>
          <w:rFonts w:hint="eastAsia"/>
          <w:szCs w:val="22"/>
          <w:lang w:val="en-US" w:eastAsia="zh-CN"/>
        </w:rPr>
      </w:pPr>
      <w:r>
        <w:rPr>
          <w:rFonts w:hint="eastAsia"/>
          <w:szCs w:val="22"/>
          <w:lang w:val="en-US" w:eastAsia="zh-CN"/>
        </w:rPr>
        <w:t>投诉预受理人员完成投诉预受理工单后，实时将工单进行提交；</w:t>
      </w:r>
    </w:p>
    <w:p>
      <w:pPr>
        <w:pStyle w:val="28"/>
        <w:keepNext w:val="0"/>
        <w:keepLines w:val="0"/>
        <w:pageBreakBefore w:val="0"/>
        <w:widowControl/>
        <w:numPr>
          <w:ilvl w:val="0"/>
          <w:numId w:val="19"/>
        </w:numPr>
        <w:kinsoku/>
        <w:wordWrap/>
        <w:overflowPunct/>
        <w:topLinePunct w:val="0"/>
        <w:autoSpaceDE w:val="0"/>
        <w:autoSpaceDN w:val="0"/>
        <w:bidi w:val="0"/>
        <w:adjustRightInd/>
        <w:snapToGrid/>
        <w:spacing w:line="360" w:lineRule="auto"/>
        <w:ind w:firstLine="420" w:firstLineChars="200"/>
        <w:textAlignment w:val="auto"/>
        <w:rPr>
          <w:rFonts w:hint="eastAsia"/>
          <w:szCs w:val="22"/>
          <w:lang w:val="en-US" w:eastAsia="zh-CN"/>
        </w:rPr>
      </w:pPr>
      <w:r>
        <w:rPr>
          <w:rFonts w:hint="eastAsia"/>
          <w:szCs w:val="22"/>
          <w:lang w:val="en-US" w:eastAsia="zh-CN"/>
        </w:rPr>
        <w:t>投诉受理人与在收到预受理工单后，应当在1个自然日内核查验证相关证据的完整性和真实性，根据情况转入正式受理；</w:t>
      </w:r>
    </w:p>
    <w:p>
      <w:pPr>
        <w:pStyle w:val="28"/>
        <w:keepNext w:val="0"/>
        <w:keepLines w:val="0"/>
        <w:pageBreakBefore w:val="0"/>
        <w:widowControl/>
        <w:numPr>
          <w:ilvl w:val="0"/>
          <w:numId w:val="19"/>
        </w:numPr>
        <w:kinsoku/>
        <w:wordWrap/>
        <w:overflowPunct/>
        <w:topLinePunct w:val="0"/>
        <w:autoSpaceDE w:val="0"/>
        <w:autoSpaceDN w:val="0"/>
        <w:bidi w:val="0"/>
        <w:adjustRightInd/>
        <w:snapToGrid/>
        <w:spacing w:line="360" w:lineRule="auto"/>
        <w:ind w:firstLine="420" w:firstLineChars="200"/>
        <w:textAlignment w:val="auto"/>
        <w:rPr>
          <w:rFonts w:hint="eastAsia"/>
          <w:szCs w:val="22"/>
          <w:lang w:val="en-US" w:eastAsia="zh-CN"/>
        </w:rPr>
      </w:pPr>
      <w:r>
        <w:rPr>
          <w:rFonts w:hint="eastAsia"/>
          <w:szCs w:val="22"/>
          <w:lang w:val="en-US" w:eastAsia="zh-CN"/>
        </w:rPr>
        <w:t>进入投诉受理环节后，投诉受理人员应积极开展投诉核查取证，若涉及到其他参与方协同处理及时将相关证据、处理依据、问题原因、处理结果和退费金额等提交客户服务支撑系统，确保各参与方实时获取处理进展；</w:t>
      </w:r>
    </w:p>
    <w:p>
      <w:pPr>
        <w:pStyle w:val="28"/>
        <w:keepNext w:val="0"/>
        <w:keepLines w:val="0"/>
        <w:pageBreakBefore w:val="0"/>
        <w:widowControl/>
        <w:numPr>
          <w:ilvl w:val="0"/>
          <w:numId w:val="19"/>
        </w:numPr>
        <w:kinsoku/>
        <w:wordWrap/>
        <w:overflowPunct/>
        <w:topLinePunct w:val="0"/>
        <w:autoSpaceDE w:val="0"/>
        <w:autoSpaceDN w:val="0"/>
        <w:bidi w:val="0"/>
        <w:adjustRightInd/>
        <w:snapToGrid/>
        <w:spacing w:line="360" w:lineRule="auto"/>
        <w:ind w:firstLine="420" w:firstLineChars="200"/>
        <w:textAlignment w:val="auto"/>
        <w:rPr>
          <w:rFonts w:hint="eastAsia"/>
          <w:szCs w:val="22"/>
          <w:lang w:val="en-US" w:eastAsia="zh-CN"/>
        </w:rPr>
      </w:pPr>
      <w:r>
        <w:rPr>
          <w:rFonts w:hint="eastAsia"/>
          <w:szCs w:val="22"/>
          <w:lang w:val="en-US" w:eastAsia="zh-CN"/>
        </w:rPr>
        <w:t>在投诉处理意见生成后，应当由投诉受理人员在处理限时内向客户回复处理结果；</w:t>
      </w:r>
    </w:p>
    <w:p>
      <w:pPr>
        <w:pStyle w:val="28"/>
        <w:keepNext w:val="0"/>
        <w:keepLines w:val="0"/>
        <w:pageBreakBefore w:val="0"/>
        <w:widowControl/>
        <w:numPr>
          <w:ilvl w:val="0"/>
          <w:numId w:val="19"/>
        </w:numPr>
        <w:kinsoku/>
        <w:wordWrap/>
        <w:overflowPunct/>
        <w:topLinePunct w:val="0"/>
        <w:autoSpaceDE w:val="0"/>
        <w:autoSpaceDN w:val="0"/>
        <w:bidi w:val="0"/>
        <w:adjustRightInd/>
        <w:snapToGrid/>
        <w:spacing w:line="360" w:lineRule="auto"/>
        <w:ind w:firstLine="420" w:firstLineChars="200"/>
        <w:textAlignment w:val="auto"/>
        <w:rPr>
          <w:rFonts w:hint="eastAsia"/>
          <w:szCs w:val="22"/>
          <w:lang w:val="en-US" w:eastAsia="zh-CN"/>
        </w:rPr>
      </w:pPr>
      <w:r>
        <w:rPr>
          <w:rFonts w:hint="eastAsia"/>
          <w:szCs w:val="22"/>
          <w:lang w:val="en-US" w:eastAsia="zh-CN"/>
        </w:rPr>
        <w:t>客户认可投诉处理结果时应当及时结案；客户不认可投诉处理结果或投诉沟通协调处理超时，辽宁ETC发行机构介入，在1个自然日内做出裁决；</w:t>
      </w:r>
    </w:p>
    <w:p>
      <w:pPr>
        <w:pStyle w:val="28"/>
        <w:keepNext w:val="0"/>
        <w:keepLines w:val="0"/>
        <w:pageBreakBefore w:val="0"/>
        <w:widowControl/>
        <w:numPr>
          <w:ilvl w:val="0"/>
          <w:numId w:val="19"/>
        </w:numPr>
        <w:kinsoku/>
        <w:wordWrap/>
        <w:overflowPunct/>
        <w:topLinePunct w:val="0"/>
        <w:autoSpaceDE w:val="0"/>
        <w:autoSpaceDN w:val="0"/>
        <w:bidi w:val="0"/>
        <w:adjustRightInd/>
        <w:snapToGrid/>
        <w:spacing w:line="360" w:lineRule="auto"/>
        <w:ind w:firstLine="420" w:firstLineChars="200"/>
        <w:textAlignment w:val="auto"/>
        <w:rPr>
          <w:rFonts w:hint="eastAsia"/>
          <w:szCs w:val="22"/>
          <w:lang w:val="en-US" w:eastAsia="zh-CN"/>
        </w:rPr>
      </w:pPr>
      <w:r>
        <w:rPr>
          <w:rFonts w:hint="eastAsia"/>
          <w:szCs w:val="22"/>
          <w:lang w:val="en-US" w:eastAsia="zh-CN"/>
        </w:rPr>
        <w:t>客户提交的证据与客户投诉事实不一致时，投诉受理人员尽快联系客户核实有关情况，未经核实处理不得提交处理结果；</w:t>
      </w:r>
    </w:p>
    <w:p>
      <w:pPr>
        <w:pStyle w:val="28"/>
        <w:keepNext w:val="0"/>
        <w:keepLines w:val="0"/>
        <w:pageBreakBefore w:val="0"/>
        <w:widowControl/>
        <w:numPr>
          <w:ilvl w:val="0"/>
          <w:numId w:val="19"/>
        </w:numPr>
        <w:kinsoku/>
        <w:wordWrap/>
        <w:overflowPunct/>
        <w:topLinePunct w:val="0"/>
        <w:autoSpaceDE w:val="0"/>
        <w:autoSpaceDN w:val="0"/>
        <w:bidi w:val="0"/>
        <w:adjustRightInd/>
        <w:snapToGrid/>
        <w:spacing w:line="360" w:lineRule="auto"/>
        <w:ind w:firstLine="420" w:firstLineChars="200"/>
        <w:textAlignment w:val="auto"/>
        <w:rPr>
          <w:rFonts w:hint="eastAsia"/>
          <w:szCs w:val="22"/>
          <w:lang w:val="en-US" w:eastAsia="zh-CN"/>
        </w:rPr>
      </w:pPr>
      <w:r>
        <w:rPr>
          <w:rFonts w:hint="eastAsia"/>
          <w:szCs w:val="22"/>
          <w:lang w:val="en-US" w:eastAsia="zh-CN"/>
        </w:rPr>
        <w:t>被投诉方认可辽宁ETC发行机构裁决时，应当在处理限时内执行投诉处理结果。被投诉方不认可辽宁ETC发行机构裁决时，应当在处理限时内提出申诉意见和证据截图，辽宁ETC发行机构出具最终意见；</w:t>
      </w:r>
    </w:p>
    <w:p>
      <w:pPr>
        <w:pStyle w:val="28"/>
        <w:keepNext w:val="0"/>
        <w:keepLines w:val="0"/>
        <w:pageBreakBefore w:val="0"/>
        <w:widowControl/>
        <w:numPr>
          <w:ilvl w:val="0"/>
          <w:numId w:val="19"/>
        </w:numPr>
        <w:kinsoku/>
        <w:wordWrap/>
        <w:overflowPunct/>
        <w:topLinePunct w:val="0"/>
        <w:autoSpaceDE w:val="0"/>
        <w:autoSpaceDN w:val="0"/>
        <w:bidi w:val="0"/>
        <w:adjustRightInd/>
        <w:snapToGrid/>
        <w:spacing w:line="360" w:lineRule="auto"/>
        <w:ind w:firstLine="420" w:firstLineChars="200"/>
        <w:textAlignment w:val="auto"/>
        <w:rPr>
          <w:rFonts w:hint="eastAsia"/>
          <w:szCs w:val="22"/>
          <w:lang w:val="en-US" w:eastAsia="zh-CN"/>
        </w:rPr>
      </w:pPr>
      <w:r>
        <w:rPr>
          <w:rFonts w:hint="eastAsia"/>
          <w:szCs w:val="22"/>
          <w:lang w:val="en-US" w:eastAsia="zh-CN"/>
        </w:rPr>
        <w:t>客户发起停车费争议投诉，经核实与事实相符的应及时退费。客户发起的ETC停车费争议投诉确认多扣停车费时，停车场（库）应当在2个自然日内完成退款。涉及金融机构的，应协调金融机构在10个工作日内完成退费；</w:t>
      </w:r>
    </w:p>
    <w:p>
      <w:pPr>
        <w:pStyle w:val="28"/>
        <w:keepNext w:val="0"/>
        <w:keepLines w:val="0"/>
        <w:pageBreakBefore w:val="0"/>
        <w:widowControl/>
        <w:numPr>
          <w:ilvl w:val="0"/>
          <w:numId w:val="19"/>
        </w:numPr>
        <w:kinsoku/>
        <w:wordWrap/>
        <w:overflowPunct/>
        <w:topLinePunct w:val="0"/>
        <w:autoSpaceDE w:val="0"/>
        <w:autoSpaceDN w:val="0"/>
        <w:bidi w:val="0"/>
        <w:adjustRightInd/>
        <w:snapToGrid/>
        <w:spacing w:line="360" w:lineRule="auto"/>
        <w:ind w:firstLine="420" w:firstLineChars="200"/>
        <w:textAlignment w:val="auto"/>
        <w:rPr>
          <w:rFonts w:hint="eastAsia"/>
          <w:szCs w:val="22"/>
          <w:lang w:val="en-US" w:eastAsia="zh-CN"/>
        </w:rPr>
      </w:pPr>
      <w:r>
        <w:rPr>
          <w:rFonts w:hint="eastAsia"/>
          <w:szCs w:val="22"/>
          <w:lang w:val="en-US" w:eastAsia="zh-CN"/>
        </w:rPr>
        <w:t>辽宁ETC发行机构，会对本地发起的已结案投诉进行全量回访；</w:t>
      </w:r>
    </w:p>
    <w:p>
      <w:pPr>
        <w:pStyle w:val="28"/>
        <w:keepNext w:val="0"/>
        <w:keepLines w:val="0"/>
        <w:pageBreakBefore w:val="0"/>
        <w:widowControl/>
        <w:numPr>
          <w:ilvl w:val="0"/>
          <w:numId w:val="19"/>
        </w:numPr>
        <w:kinsoku/>
        <w:wordWrap/>
        <w:overflowPunct/>
        <w:topLinePunct w:val="0"/>
        <w:autoSpaceDE w:val="0"/>
        <w:autoSpaceDN w:val="0"/>
        <w:bidi w:val="0"/>
        <w:adjustRightInd/>
        <w:snapToGrid/>
        <w:spacing w:line="360" w:lineRule="auto"/>
        <w:ind w:firstLine="420" w:firstLineChars="200"/>
        <w:textAlignment w:val="auto"/>
        <w:rPr>
          <w:rFonts w:hint="eastAsia"/>
          <w:szCs w:val="22"/>
          <w:lang w:val="en-US" w:eastAsia="zh-CN"/>
        </w:rPr>
      </w:pPr>
      <w:r>
        <w:rPr>
          <w:rFonts w:hint="eastAsia"/>
          <w:szCs w:val="22"/>
          <w:lang w:val="en-US" w:eastAsia="zh-CN"/>
        </w:rPr>
        <w:t>辽宁ETC发行机构，会对投诉结案后2个自然日内完成投诉判责工作。</w:t>
      </w:r>
    </w:p>
    <w:bookmarkEnd w:id="75"/>
    <w:bookmarkEnd w:id="76"/>
    <w:p>
      <w:pPr>
        <w:pStyle w:val="31"/>
        <w:numPr>
          <w:ilvl w:val="1"/>
          <w:numId w:val="0"/>
        </w:numPr>
        <w:spacing w:before="156" w:after="156" w:line="360" w:lineRule="auto"/>
        <w:ind w:leftChars="0"/>
        <w:jc w:val="center"/>
        <w:rPr>
          <w:rFonts w:hint="eastAsia"/>
          <w:szCs w:val="24"/>
          <w:lang w:val="en-US" w:eastAsia="zh-CN"/>
        </w:rPr>
        <w:sectPr>
          <w:headerReference r:id="rId11" w:type="default"/>
          <w:footerReference r:id="rId13" w:type="default"/>
          <w:headerReference r:id="rId12" w:type="even"/>
          <w:footerReference r:id="rId14" w:type="even"/>
          <w:pgSz w:w="11906" w:h="16838"/>
          <w:pgMar w:top="720" w:right="1134" w:bottom="720" w:left="1417" w:header="1418" w:footer="1134" w:gutter="0"/>
          <w:pgNumType w:fmt="decimal" w:start="1"/>
          <w:cols w:space="720" w:num="1"/>
          <w:formProt w:val="0"/>
          <w:docGrid w:type="lines" w:linePitch="312" w:charSpace="0"/>
        </w:sectPr>
      </w:pPr>
      <w:bookmarkStart w:id="110" w:name="_Toc8123"/>
      <w:bookmarkStart w:id="111" w:name="BKCKWX"/>
    </w:p>
    <w:p>
      <w:pPr>
        <w:pStyle w:val="31"/>
        <w:numPr>
          <w:ilvl w:val="1"/>
          <w:numId w:val="0"/>
        </w:numPr>
        <w:spacing w:before="156" w:after="156" w:line="360" w:lineRule="auto"/>
        <w:ind w:leftChars="0"/>
        <w:jc w:val="center"/>
        <w:rPr>
          <w:rFonts w:hint="eastAsia"/>
          <w:szCs w:val="24"/>
          <w:lang w:val="en-US" w:eastAsia="zh-CN"/>
        </w:rPr>
      </w:pPr>
      <w:bookmarkStart w:id="112" w:name="_Toc24765"/>
      <w:r>
        <w:rPr>
          <w:rFonts w:hint="eastAsia"/>
          <w:szCs w:val="24"/>
          <w:lang w:val="en-US" w:eastAsia="zh-CN"/>
        </w:rPr>
        <w:t>附　录　A</w:t>
      </w:r>
      <w:bookmarkEnd w:id="110"/>
      <w:bookmarkEnd w:id="112"/>
    </w:p>
    <w:p>
      <w:pPr>
        <w:bidi w:val="0"/>
        <w:spacing w:line="360" w:lineRule="auto"/>
        <w:jc w:val="center"/>
        <w:rPr>
          <w:rFonts w:hint="eastAsia" w:ascii="黑体" w:hAnsi="Times New Roman" w:eastAsia="黑体" w:cs="Times New Roman"/>
          <w:kern w:val="0"/>
          <w:sz w:val="21"/>
          <w:szCs w:val="22"/>
          <w:lang w:val="en-US" w:eastAsia="zh-CN" w:bidi="ar-SA"/>
        </w:rPr>
      </w:pPr>
      <w:r>
        <w:rPr>
          <w:rFonts w:hint="eastAsia" w:ascii="黑体" w:hAnsi="Times New Roman" w:eastAsia="黑体" w:cs="Times New Roman"/>
          <w:kern w:val="0"/>
          <w:sz w:val="21"/>
          <w:szCs w:val="22"/>
          <w:lang w:val="en-US" w:eastAsia="zh-CN" w:bidi="ar-SA"/>
        </w:rPr>
        <w:t>(资料性)</w:t>
      </w:r>
    </w:p>
    <w:p>
      <w:pPr>
        <w:pStyle w:val="28"/>
        <w:spacing w:line="360" w:lineRule="auto"/>
        <w:jc w:val="center"/>
        <w:rPr>
          <w:rFonts w:hint="eastAsia" w:ascii="黑体" w:hAnsi="Times New Roman" w:eastAsia="黑体" w:cs="Times New Roman"/>
          <w:kern w:val="0"/>
          <w:sz w:val="21"/>
          <w:szCs w:val="22"/>
          <w:lang w:val="en-US" w:eastAsia="zh-CN" w:bidi="ar-SA"/>
        </w:rPr>
      </w:pPr>
      <w:r>
        <w:rPr>
          <w:rFonts w:hint="eastAsia" w:ascii="黑体" w:hAnsi="Times New Roman" w:eastAsia="黑体" w:cs="Times New Roman"/>
          <w:kern w:val="0"/>
          <w:sz w:val="21"/>
          <w:szCs w:val="22"/>
          <w:lang w:val="en-US" w:eastAsia="zh-CN" w:bidi="ar-SA"/>
        </w:rPr>
        <w:t>辽宁高速ETC智慧停车场运维月度评估表</w:t>
      </w:r>
    </w:p>
    <w:p>
      <w:pPr>
        <w:spacing w:after="120" w:line="360" w:lineRule="auto"/>
        <w:ind w:left="480" w:firstLine="419" w:firstLineChars="0"/>
      </w:pPr>
      <w:r>
        <w:rPr>
          <w:rFonts w:hint="eastAsia"/>
          <w:lang w:val="en-US" w:eastAsia="zh-CN"/>
        </w:rPr>
        <w:t>辽宁高速ETC智慧停车场运维应</w:t>
      </w:r>
      <w:r>
        <w:rPr>
          <w:rFonts w:hint="eastAsia"/>
        </w:rPr>
        <w:t>结合</w:t>
      </w:r>
      <w:r>
        <w:rPr>
          <w:rFonts w:hint="eastAsia"/>
          <w:lang w:val="en-US" w:eastAsia="zh-CN"/>
        </w:rPr>
        <w:t>本文件</w:t>
      </w:r>
      <w:r>
        <w:rPr>
          <w:rFonts w:hint="eastAsia"/>
        </w:rPr>
        <w:t>正文要求内容，以及后续实际运维活动开展，逐步细化评估表的项目类别、具体项目、项目权重、检查标准</w:t>
      </w:r>
      <w:r>
        <w:rPr>
          <w:rFonts w:hint="eastAsia"/>
          <w:lang w:val="en-US" w:eastAsia="zh-CN"/>
        </w:rPr>
        <w:t>及</w:t>
      </w:r>
      <w:r>
        <w:rPr>
          <w:rFonts w:hint="eastAsia"/>
        </w:rPr>
        <w:t>分值具体要求</w:t>
      </w:r>
      <w:r>
        <w:rPr>
          <w:rFonts w:hint="eastAsia"/>
          <w:lang w:eastAsia="zh-CN"/>
        </w:rPr>
        <w:t>，</w:t>
      </w:r>
      <w:r>
        <w:rPr>
          <w:rFonts w:hint="eastAsia"/>
          <w:lang w:val="en-US" w:eastAsia="zh-CN"/>
        </w:rPr>
        <w:t>辽宁高速ETC智慧停车场运维月度评估表见表A.1</w:t>
      </w:r>
      <w:r>
        <w:rPr>
          <w:rFonts w:hint="eastAsia"/>
        </w:rPr>
        <w:t>。</w:t>
      </w:r>
    </w:p>
    <w:p>
      <w:pPr>
        <w:spacing w:after="120" w:line="360" w:lineRule="auto"/>
        <w:ind w:firstLine="480"/>
        <w:jc w:val="center"/>
        <w:rPr>
          <w:rFonts w:hint="eastAsia" w:ascii="黑体" w:hAnsi="黑体" w:eastAsia="黑体" w:cs="黑体"/>
          <w:sz w:val="21"/>
          <w:szCs w:val="21"/>
        </w:rPr>
      </w:pPr>
      <w:r>
        <w:rPr>
          <w:rFonts w:hint="eastAsia" w:ascii="黑体" w:hAnsi="黑体" w:eastAsia="黑体" w:cs="黑体"/>
          <w:sz w:val="21"/>
          <w:szCs w:val="21"/>
        </w:rPr>
        <w:t>表</w:t>
      </w:r>
      <w:r>
        <w:rPr>
          <w:rFonts w:hint="eastAsia" w:ascii="黑体" w:hAnsi="黑体" w:eastAsia="黑体" w:cs="黑体"/>
          <w:sz w:val="21"/>
          <w:szCs w:val="21"/>
          <w:lang w:val="en-US" w:eastAsia="zh-CN"/>
        </w:rPr>
        <w:t>A.</w:t>
      </w:r>
      <w:r>
        <w:rPr>
          <w:rFonts w:hint="eastAsia" w:ascii="黑体" w:hAnsi="黑体" w:eastAsia="黑体" w:cs="黑体"/>
          <w:sz w:val="21"/>
          <w:szCs w:val="21"/>
        </w:rPr>
        <w:t>1</w:t>
      </w:r>
      <w:r>
        <w:rPr>
          <w:rFonts w:hint="eastAsia" w:ascii="黑体" w:hAnsi="黑体" w:eastAsia="黑体" w:cs="黑体"/>
          <w:sz w:val="21"/>
          <w:szCs w:val="21"/>
          <w:lang w:eastAsia="zh-CN"/>
        </w:rPr>
        <w:t>　</w:t>
      </w:r>
      <w:r>
        <w:rPr>
          <w:rFonts w:hint="eastAsia" w:ascii="黑体" w:hAnsi="黑体" w:eastAsia="黑体" w:cs="黑体"/>
          <w:sz w:val="21"/>
          <w:szCs w:val="21"/>
        </w:rPr>
        <w:t>辽宁</w:t>
      </w:r>
      <w:r>
        <w:rPr>
          <w:rFonts w:hint="eastAsia" w:ascii="黑体" w:hAnsi="黑体" w:eastAsia="黑体" w:cs="黑体"/>
          <w:sz w:val="21"/>
          <w:szCs w:val="21"/>
          <w:lang w:eastAsia="zh-CN"/>
        </w:rPr>
        <w:t>高速ETC智慧停车</w:t>
      </w:r>
      <w:r>
        <w:rPr>
          <w:rFonts w:hint="eastAsia" w:ascii="黑体" w:hAnsi="黑体" w:eastAsia="黑体" w:cs="黑体"/>
          <w:sz w:val="21"/>
          <w:szCs w:val="21"/>
        </w:rPr>
        <w:t>场运维月度评估表</w:t>
      </w:r>
    </w:p>
    <w:tbl>
      <w:tblPr>
        <w:tblStyle w:val="9"/>
        <w:tblW w:w="0" w:type="auto"/>
        <w:tblInd w:w="4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4"/>
        <w:gridCol w:w="1399"/>
        <w:gridCol w:w="953"/>
        <w:gridCol w:w="2700"/>
        <w:gridCol w:w="794"/>
        <w:gridCol w:w="795"/>
        <w:gridCol w:w="14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9020" w:type="dxa"/>
            <w:gridSpan w:val="7"/>
            <w:tcBorders>
              <w:bottom w:val="single" w:color="000000" w:sz="4" w:space="0"/>
            </w:tcBorders>
            <w:noWrap w:val="0"/>
            <w:vAlign w:val="center"/>
          </w:tcPr>
          <w:p>
            <w:pPr>
              <w:spacing w:after="120" w:line="360" w:lineRule="auto"/>
              <w:jc w:val="center"/>
              <w:rPr>
                <w:rFonts w:hint="eastAsia" w:ascii="仿宋" w:hAnsi="仿宋"/>
                <w:b/>
                <w:bCs/>
                <w:szCs w:val="24"/>
              </w:rPr>
            </w:pPr>
            <w:r>
              <w:rPr>
                <w:rFonts w:hint="eastAsia" w:ascii="宋体" w:hAnsi="宋体" w:eastAsia="宋体" w:cs="宋体"/>
                <w:b w:val="0"/>
                <w:bCs w:val="0"/>
                <w:sz w:val="18"/>
                <w:szCs w:val="18"/>
              </w:rPr>
              <w:t>辽宁</w:t>
            </w:r>
            <w:r>
              <w:rPr>
                <w:rFonts w:hint="eastAsia" w:ascii="宋体" w:hAnsi="宋体" w:cs="宋体"/>
                <w:b w:val="0"/>
                <w:bCs w:val="0"/>
                <w:sz w:val="18"/>
                <w:szCs w:val="18"/>
                <w:lang w:eastAsia="zh-CN"/>
              </w:rPr>
              <w:t>高速ETC智慧停车</w:t>
            </w:r>
            <w:r>
              <w:rPr>
                <w:rFonts w:hint="eastAsia" w:ascii="宋体" w:hAnsi="宋体" w:eastAsia="宋体" w:cs="宋体"/>
                <w:b w:val="0"/>
                <w:bCs w:val="0"/>
                <w:sz w:val="18"/>
                <w:szCs w:val="18"/>
              </w:rPr>
              <w:t>场（库）运维抽查评估表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2283" w:type="dxa"/>
            <w:gridSpan w:val="2"/>
            <w:tcBorders>
              <w:top w:val="single" w:color="000000" w:sz="4" w:space="0"/>
              <w:left w:val="single" w:color="000000" w:sz="4" w:space="0"/>
              <w:bottom w:val="single" w:color="000000" w:sz="4" w:space="0"/>
              <w:right w:val="single" w:color="000000" w:sz="4" w:space="0"/>
            </w:tcBorders>
            <w:noWrap w:val="0"/>
            <w:vAlign w:val="top"/>
          </w:tcPr>
          <w:p>
            <w:pPr>
              <w:spacing w:after="120" w:line="360" w:lineRule="auto"/>
              <w:jc w:val="left"/>
              <w:rPr>
                <w:rFonts w:hint="eastAsia" w:ascii="宋体" w:hAnsi="宋体" w:eastAsia="宋体" w:cs="宋体"/>
                <w:sz w:val="18"/>
                <w:szCs w:val="18"/>
              </w:rPr>
            </w:pPr>
            <w:r>
              <w:rPr>
                <w:rFonts w:hint="eastAsia" w:ascii="宋体" w:hAnsi="宋体" w:eastAsia="宋体" w:cs="宋体"/>
                <w:sz w:val="18"/>
                <w:szCs w:val="18"/>
              </w:rPr>
              <w:t>考评执行单位</w:t>
            </w:r>
          </w:p>
        </w:tc>
        <w:tc>
          <w:tcPr>
            <w:tcW w:w="6737" w:type="dxa"/>
            <w:gridSpan w:val="5"/>
            <w:tcBorders>
              <w:top w:val="single" w:color="000000" w:sz="4" w:space="0"/>
              <w:left w:val="single" w:color="000000" w:sz="4" w:space="0"/>
              <w:bottom w:val="single" w:color="000000" w:sz="4" w:space="0"/>
              <w:right w:val="single" w:color="000000" w:sz="4" w:space="0"/>
            </w:tcBorders>
            <w:noWrap w:val="0"/>
            <w:vAlign w:val="top"/>
          </w:tcPr>
          <w:p>
            <w:pPr>
              <w:spacing w:after="120" w:line="360" w:lineRule="auto"/>
              <w:jc w:val="left"/>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2283" w:type="dxa"/>
            <w:gridSpan w:val="2"/>
            <w:tcBorders>
              <w:top w:val="single" w:color="000000" w:sz="4" w:space="0"/>
              <w:left w:val="single" w:color="000000" w:sz="4" w:space="0"/>
              <w:bottom w:val="single" w:color="000000" w:sz="4" w:space="0"/>
              <w:right w:val="single" w:color="000000" w:sz="4" w:space="0"/>
            </w:tcBorders>
            <w:noWrap w:val="0"/>
            <w:vAlign w:val="top"/>
          </w:tcPr>
          <w:p>
            <w:pPr>
              <w:spacing w:after="120" w:line="360" w:lineRule="auto"/>
              <w:rPr>
                <w:rFonts w:hint="eastAsia" w:ascii="宋体" w:hAnsi="宋体" w:eastAsia="宋体" w:cs="宋体"/>
                <w:sz w:val="18"/>
                <w:szCs w:val="18"/>
              </w:rPr>
            </w:pPr>
            <w:r>
              <w:rPr>
                <w:rFonts w:hint="eastAsia" w:ascii="宋体" w:hAnsi="宋体" w:eastAsia="宋体" w:cs="宋体"/>
                <w:sz w:val="18"/>
                <w:szCs w:val="18"/>
              </w:rPr>
              <w:t>被考评单位</w:t>
            </w:r>
          </w:p>
        </w:tc>
        <w:tc>
          <w:tcPr>
            <w:tcW w:w="3653" w:type="dxa"/>
            <w:gridSpan w:val="2"/>
            <w:tcBorders>
              <w:top w:val="single" w:color="000000" w:sz="4" w:space="0"/>
              <w:left w:val="single" w:color="000000" w:sz="4" w:space="0"/>
              <w:bottom w:val="single" w:color="000000" w:sz="4" w:space="0"/>
              <w:right w:val="single" w:color="000000" w:sz="4" w:space="0"/>
            </w:tcBorders>
            <w:noWrap w:val="0"/>
            <w:vAlign w:val="top"/>
          </w:tcPr>
          <w:p>
            <w:pPr>
              <w:spacing w:after="120" w:line="360" w:lineRule="auto"/>
              <w:rPr>
                <w:rFonts w:hint="eastAsia" w:ascii="宋体" w:hAnsi="宋体" w:eastAsia="宋体" w:cs="宋体"/>
                <w:sz w:val="18"/>
                <w:szCs w:val="18"/>
              </w:rPr>
            </w:pPr>
          </w:p>
        </w:tc>
        <w:tc>
          <w:tcPr>
            <w:tcW w:w="1589" w:type="dxa"/>
            <w:gridSpan w:val="2"/>
            <w:tcBorders>
              <w:top w:val="single" w:color="000000" w:sz="4" w:space="0"/>
              <w:left w:val="single" w:color="000000" w:sz="4" w:space="0"/>
              <w:bottom w:val="single" w:color="000000" w:sz="4" w:space="0"/>
              <w:right w:val="single" w:color="000000" w:sz="4" w:space="0"/>
            </w:tcBorders>
            <w:noWrap w:val="0"/>
            <w:vAlign w:val="top"/>
          </w:tcPr>
          <w:p>
            <w:pPr>
              <w:spacing w:after="120" w:line="360" w:lineRule="auto"/>
              <w:rPr>
                <w:rFonts w:hint="eastAsia" w:ascii="宋体" w:hAnsi="宋体" w:eastAsia="宋体" w:cs="宋体"/>
                <w:sz w:val="18"/>
                <w:szCs w:val="18"/>
              </w:rPr>
            </w:pPr>
            <w:r>
              <w:rPr>
                <w:rFonts w:hint="eastAsia" w:ascii="宋体" w:hAnsi="宋体" w:eastAsia="宋体" w:cs="宋体"/>
                <w:sz w:val="18"/>
                <w:szCs w:val="18"/>
              </w:rPr>
              <w:t>考评时间</w:t>
            </w:r>
          </w:p>
        </w:tc>
        <w:tc>
          <w:tcPr>
            <w:tcW w:w="1495" w:type="dxa"/>
            <w:tcBorders>
              <w:top w:val="single" w:color="000000" w:sz="4" w:space="0"/>
              <w:left w:val="single" w:color="000000" w:sz="4" w:space="0"/>
              <w:bottom w:val="single" w:color="000000" w:sz="4" w:space="0"/>
              <w:right w:val="single" w:color="000000" w:sz="4" w:space="0"/>
            </w:tcBorders>
            <w:noWrap w:val="0"/>
            <w:vAlign w:val="top"/>
          </w:tcPr>
          <w:p>
            <w:pPr>
              <w:spacing w:after="120" w:line="360" w:lineRule="auto"/>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884" w:type="dxa"/>
            <w:tcBorders>
              <w:top w:val="single" w:color="000000" w:sz="4" w:space="0"/>
            </w:tcBorders>
            <w:noWrap w:val="0"/>
            <w:vAlign w:val="top"/>
          </w:tcPr>
          <w:p>
            <w:pPr>
              <w:spacing w:after="120" w:line="360" w:lineRule="auto"/>
              <w:rPr>
                <w:rFonts w:hint="eastAsia" w:ascii="宋体" w:hAnsi="宋体" w:eastAsia="宋体" w:cs="宋体"/>
                <w:sz w:val="18"/>
                <w:szCs w:val="18"/>
              </w:rPr>
            </w:pPr>
            <w:r>
              <w:rPr>
                <w:rFonts w:hint="eastAsia" w:ascii="宋体" w:hAnsi="宋体" w:eastAsia="宋体" w:cs="宋体"/>
                <w:sz w:val="18"/>
                <w:szCs w:val="18"/>
              </w:rPr>
              <w:t>序号</w:t>
            </w:r>
          </w:p>
        </w:tc>
        <w:tc>
          <w:tcPr>
            <w:tcW w:w="1399" w:type="dxa"/>
            <w:tcBorders>
              <w:top w:val="single" w:color="000000" w:sz="4" w:space="0"/>
            </w:tcBorders>
            <w:noWrap w:val="0"/>
            <w:vAlign w:val="top"/>
          </w:tcPr>
          <w:p>
            <w:pPr>
              <w:spacing w:after="120" w:line="360" w:lineRule="auto"/>
              <w:rPr>
                <w:rFonts w:hint="eastAsia" w:ascii="宋体" w:hAnsi="宋体" w:eastAsia="宋体" w:cs="宋体"/>
                <w:sz w:val="18"/>
                <w:szCs w:val="18"/>
              </w:rPr>
            </w:pPr>
            <w:r>
              <w:rPr>
                <w:rFonts w:hint="eastAsia" w:ascii="宋体" w:hAnsi="宋体" w:eastAsia="宋体" w:cs="宋体"/>
                <w:sz w:val="18"/>
                <w:szCs w:val="18"/>
              </w:rPr>
              <w:t>考评类别</w:t>
            </w:r>
          </w:p>
        </w:tc>
        <w:tc>
          <w:tcPr>
            <w:tcW w:w="953" w:type="dxa"/>
            <w:tcBorders>
              <w:top w:val="single" w:color="000000" w:sz="4" w:space="0"/>
            </w:tcBorders>
            <w:noWrap w:val="0"/>
            <w:vAlign w:val="top"/>
          </w:tcPr>
          <w:p>
            <w:pPr>
              <w:spacing w:after="120" w:line="360" w:lineRule="auto"/>
              <w:rPr>
                <w:rFonts w:hint="eastAsia" w:ascii="宋体" w:hAnsi="宋体" w:eastAsia="宋体" w:cs="宋体"/>
                <w:sz w:val="18"/>
                <w:szCs w:val="18"/>
              </w:rPr>
            </w:pPr>
            <w:r>
              <w:rPr>
                <w:rFonts w:hint="eastAsia" w:ascii="宋体" w:hAnsi="宋体" w:eastAsia="宋体" w:cs="宋体"/>
                <w:sz w:val="18"/>
                <w:szCs w:val="18"/>
              </w:rPr>
              <w:t>权重</w:t>
            </w:r>
          </w:p>
        </w:tc>
        <w:tc>
          <w:tcPr>
            <w:tcW w:w="2700" w:type="dxa"/>
            <w:tcBorders>
              <w:top w:val="single" w:color="000000" w:sz="4" w:space="0"/>
            </w:tcBorders>
            <w:noWrap w:val="0"/>
            <w:vAlign w:val="top"/>
          </w:tcPr>
          <w:p>
            <w:pPr>
              <w:spacing w:after="120" w:line="360" w:lineRule="auto"/>
              <w:rPr>
                <w:rFonts w:hint="eastAsia" w:ascii="宋体" w:hAnsi="宋体" w:eastAsia="宋体" w:cs="宋体"/>
                <w:sz w:val="18"/>
                <w:szCs w:val="18"/>
              </w:rPr>
            </w:pPr>
            <w:r>
              <w:rPr>
                <w:rFonts w:hint="eastAsia" w:ascii="宋体" w:hAnsi="宋体" w:eastAsia="宋体" w:cs="宋体"/>
                <w:sz w:val="18"/>
                <w:szCs w:val="18"/>
              </w:rPr>
              <w:t>考评项目及标准</w:t>
            </w:r>
          </w:p>
        </w:tc>
        <w:tc>
          <w:tcPr>
            <w:tcW w:w="794" w:type="dxa"/>
            <w:tcBorders>
              <w:top w:val="single" w:color="000000" w:sz="4" w:space="0"/>
            </w:tcBorders>
            <w:noWrap w:val="0"/>
            <w:vAlign w:val="top"/>
          </w:tcPr>
          <w:p>
            <w:pPr>
              <w:spacing w:after="120" w:line="360" w:lineRule="auto"/>
              <w:rPr>
                <w:rFonts w:hint="eastAsia" w:ascii="宋体" w:hAnsi="宋体" w:eastAsia="宋体" w:cs="宋体"/>
                <w:sz w:val="18"/>
                <w:szCs w:val="18"/>
              </w:rPr>
            </w:pPr>
            <w:r>
              <w:rPr>
                <w:rFonts w:hint="eastAsia" w:ascii="宋体" w:hAnsi="宋体" w:eastAsia="宋体" w:cs="宋体"/>
                <w:sz w:val="18"/>
                <w:szCs w:val="18"/>
              </w:rPr>
              <w:t>分值</w:t>
            </w:r>
          </w:p>
        </w:tc>
        <w:tc>
          <w:tcPr>
            <w:tcW w:w="795" w:type="dxa"/>
            <w:tcBorders>
              <w:top w:val="single" w:color="000000" w:sz="4" w:space="0"/>
            </w:tcBorders>
            <w:noWrap w:val="0"/>
            <w:vAlign w:val="top"/>
          </w:tcPr>
          <w:p>
            <w:pPr>
              <w:spacing w:after="120" w:line="360" w:lineRule="auto"/>
              <w:rPr>
                <w:rFonts w:hint="eastAsia" w:ascii="宋体" w:hAnsi="宋体" w:eastAsia="宋体" w:cs="宋体"/>
                <w:sz w:val="18"/>
                <w:szCs w:val="18"/>
              </w:rPr>
            </w:pPr>
            <w:r>
              <w:rPr>
                <w:rFonts w:hint="eastAsia" w:ascii="宋体" w:hAnsi="宋体" w:eastAsia="宋体" w:cs="宋体"/>
                <w:sz w:val="18"/>
                <w:szCs w:val="18"/>
              </w:rPr>
              <w:t>得分</w:t>
            </w:r>
          </w:p>
        </w:tc>
        <w:tc>
          <w:tcPr>
            <w:tcW w:w="1495" w:type="dxa"/>
            <w:tcBorders>
              <w:top w:val="single" w:color="000000" w:sz="4" w:space="0"/>
            </w:tcBorders>
            <w:noWrap w:val="0"/>
            <w:vAlign w:val="top"/>
          </w:tcPr>
          <w:p>
            <w:pPr>
              <w:spacing w:after="120" w:line="360" w:lineRule="auto"/>
              <w:rPr>
                <w:rFonts w:hint="eastAsia" w:ascii="宋体" w:hAnsi="宋体" w:eastAsia="宋体" w:cs="宋体"/>
                <w:sz w:val="18"/>
                <w:szCs w:val="18"/>
              </w:rPr>
            </w:pPr>
            <w:r>
              <w:rPr>
                <w:rFonts w:hint="eastAsia" w:ascii="宋体" w:hAnsi="宋体" w:eastAsia="宋体" w:cs="宋体"/>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884" w:type="dxa"/>
            <w:noWrap w:val="0"/>
            <w:vAlign w:val="top"/>
          </w:tcPr>
          <w:p>
            <w:pPr>
              <w:spacing w:after="120" w:line="360" w:lineRule="auto"/>
              <w:rPr>
                <w:rFonts w:hint="eastAsia" w:ascii="宋体" w:hAnsi="宋体" w:eastAsia="宋体" w:cs="宋体"/>
                <w:sz w:val="18"/>
                <w:szCs w:val="18"/>
              </w:rPr>
            </w:pPr>
            <w:r>
              <w:rPr>
                <w:rFonts w:hint="eastAsia" w:ascii="宋体" w:hAnsi="宋体" w:eastAsia="宋体" w:cs="宋体"/>
                <w:sz w:val="18"/>
                <w:szCs w:val="18"/>
              </w:rPr>
              <w:t>1</w:t>
            </w:r>
          </w:p>
        </w:tc>
        <w:tc>
          <w:tcPr>
            <w:tcW w:w="1399" w:type="dxa"/>
            <w:noWrap w:val="0"/>
            <w:vAlign w:val="top"/>
          </w:tcPr>
          <w:p>
            <w:pPr>
              <w:spacing w:after="120" w:line="360" w:lineRule="auto"/>
              <w:rPr>
                <w:rFonts w:hint="eastAsia" w:ascii="宋体" w:hAnsi="宋体" w:eastAsia="宋体" w:cs="宋体"/>
                <w:sz w:val="18"/>
                <w:szCs w:val="18"/>
              </w:rPr>
            </w:pPr>
            <w:r>
              <w:rPr>
                <w:rFonts w:hint="eastAsia" w:ascii="宋体" w:hAnsi="宋体" w:eastAsia="宋体" w:cs="宋体"/>
                <w:sz w:val="18"/>
                <w:szCs w:val="18"/>
              </w:rPr>
              <w:t>ETC VI 标识</w:t>
            </w:r>
          </w:p>
        </w:tc>
        <w:tc>
          <w:tcPr>
            <w:tcW w:w="953" w:type="dxa"/>
            <w:noWrap w:val="0"/>
            <w:vAlign w:val="top"/>
          </w:tcPr>
          <w:p>
            <w:pPr>
              <w:spacing w:after="120" w:line="360" w:lineRule="auto"/>
              <w:rPr>
                <w:rFonts w:hint="eastAsia" w:ascii="宋体" w:hAnsi="宋体" w:eastAsia="宋体" w:cs="宋体"/>
                <w:sz w:val="18"/>
                <w:szCs w:val="18"/>
              </w:rPr>
            </w:pPr>
            <w:r>
              <w:rPr>
                <w:rFonts w:hint="eastAsia" w:ascii="宋体" w:hAnsi="宋体" w:eastAsia="宋体" w:cs="宋体"/>
                <w:sz w:val="18"/>
                <w:szCs w:val="18"/>
              </w:rPr>
              <w:t>20</w:t>
            </w:r>
          </w:p>
        </w:tc>
        <w:tc>
          <w:tcPr>
            <w:tcW w:w="2700" w:type="dxa"/>
            <w:noWrap w:val="0"/>
            <w:vAlign w:val="top"/>
          </w:tcPr>
          <w:p>
            <w:pPr>
              <w:spacing w:after="120" w:line="360" w:lineRule="auto"/>
              <w:rPr>
                <w:rFonts w:hint="eastAsia" w:ascii="宋体" w:hAnsi="宋体" w:eastAsia="宋体" w:cs="宋体"/>
                <w:sz w:val="18"/>
                <w:szCs w:val="18"/>
              </w:rPr>
            </w:pPr>
          </w:p>
        </w:tc>
        <w:tc>
          <w:tcPr>
            <w:tcW w:w="794" w:type="dxa"/>
            <w:noWrap w:val="0"/>
            <w:vAlign w:val="top"/>
          </w:tcPr>
          <w:p>
            <w:pPr>
              <w:spacing w:after="120" w:line="360" w:lineRule="auto"/>
              <w:rPr>
                <w:rFonts w:hint="eastAsia" w:ascii="宋体" w:hAnsi="宋体" w:eastAsia="宋体" w:cs="宋体"/>
                <w:sz w:val="18"/>
                <w:szCs w:val="18"/>
              </w:rPr>
            </w:pPr>
          </w:p>
        </w:tc>
        <w:tc>
          <w:tcPr>
            <w:tcW w:w="795" w:type="dxa"/>
            <w:noWrap w:val="0"/>
            <w:vAlign w:val="top"/>
          </w:tcPr>
          <w:p>
            <w:pPr>
              <w:spacing w:after="120" w:line="360" w:lineRule="auto"/>
              <w:rPr>
                <w:rFonts w:hint="eastAsia" w:ascii="宋体" w:hAnsi="宋体" w:eastAsia="宋体" w:cs="宋体"/>
                <w:sz w:val="18"/>
                <w:szCs w:val="18"/>
              </w:rPr>
            </w:pPr>
          </w:p>
        </w:tc>
        <w:tc>
          <w:tcPr>
            <w:tcW w:w="1495" w:type="dxa"/>
            <w:noWrap w:val="0"/>
            <w:vAlign w:val="top"/>
          </w:tcPr>
          <w:p>
            <w:pPr>
              <w:spacing w:after="120" w:line="360" w:lineRule="auto"/>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61" w:hRule="atLeast"/>
        </w:trPr>
        <w:tc>
          <w:tcPr>
            <w:tcW w:w="884" w:type="dxa"/>
            <w:noWrap w:val="0"/>
            <w:vAlign w:val="top"/>
          </w:tcPr>
          <w:p>
            <w:pPr>
              <w:spacing w:after="120" w:line="360" w:lineRule="auto"/>
              <w:rPr>
                <w:rFonts w:hint="eastAsia" w:ascii="宋体" w:hAnsi="宋体" w:eastAsia="宋体" w:cs="宋体"/>
                <w:sz w:val="18"/>
                <w:szCs w:val="18"/>
              </w:rPr>
            </w:pPr>
            <w:r>
              <w:rPr>
                <w:rFonts w:hint="eastAsia" w:ascii="宋体" w:hAnsi="宋体" w:eastAsia="宋体" w:cs="宋体"/>
                <w:sz w:val="18"/>
                <w:szCs w:val="18"/>
              </w:rPr>
              <w:t>2</w:t>
            </w:r>
          </w:p>
        </w:tc>
        <w:tc>
          <w:tcPr>
            <w:tcW w:w="1399" w:type="dxa"/>
            <w:noWrap w:val="0"/>
            <w:vAlign w:val="top"/>
          </w:tcPr>
          <w:p>
            <w:pPr>
              <w:spacing w:after="120" w:line="360" w:lineRule="auto"/>
              <w:rPr>
                <w:rFonts w:hint="eastAsia" w:ascii="宋体" w:hAnsi="宋体" w:eastAsia="宋体" w:cs="宋体"/>
                <w:sz w:val="18"/>
                <w:szCs w:val="18"/>
              </w:rPr>
            </w:pPr>
            <w:r>
              <w:rPr>
                <w:rFonts w:hint="eastAsia" w:ascii="宋体" w:hAnsi="宋体" w:eastAsia="宋体" w:cs="宋体"/>
                <w:sz w:val="18"/>
                <w:szCs w:val="18"/>
              </w:rPr>
              <w:t>ETC天线设备</w:t>
            </w:r>
          </w:p>
        </w:tc>
        <w:tc>
          <w:tcPr>
            <w:tcW w:w="953" w:type="dxa"/>
            <w:noWrap w:val="0"/>
            <w:vAlign w:val="top"/>
          </w:tcPr>
          <w:p>
            <w:pPr>
              <w:spacing w:after="120" w:line="360" w:lineRule="auto"/>
              <w:rPr>
                <w:rFonts w:hint="eastAsia" w:ascii="宋体" w:hAnsi="宋体" w:eastAsia="宋体" w:cs="宋体"/>
                <w:sz w:val="18"/>
                <w:szCs w:val="18"/>
              </w:rPr>
            </w:pPr>
            <w:r>
              <w:rPr>
                <w:rFonts w:hint="eastAsia" w:ascii="宋体" w:hAnsi="宋体" w:eastAsia="宋体" w:cs="宋体"/>
                <w:sz w:val="18"/>
                <w:szCs w:val="18"/>
              </w:rPr>
              <w:t>30</w:t>
            </w:r>
          </w:p>
        </w:tc>
        <w:tc>
          <w:tcPr>
            <w:tcW w:w="2700" w:type="dxa"/>
            <w:noWrap w:val="0"/>
            <w:vAlign w:val="top"/>
          </w:tcPr>
          <w:p>
            <w:pPr>
              <w:spacing w:after="120" w:line="360" w:lineRule="auto"/>
              <w:rPr>
                <w:rFonts w:hint="eastAsia" w:ascii="宋体" w:hAnsi="宋体" w:eastAsia="宋体" w:cs="宋体"/>
                <w:sz w:val="18"/>
                <w:szCs w:val="18"/>
              </w:rPr>
            </w:pPr>
          </w:p>
        </w:tc>
        <w:tc>
          <w:tcPr>
            <w:tcW w:w="794" w:type="dxa"/>
            <w:noWrap w:val="0"/>
            <w:vAlign w:val="top"/>
          </w:tcPr>
          <w:p>
            <w:pPr>
              <w:spacing w:after="120" w:line="360" w:lineRule="auto"/>
              <w:rPr>
                <w:rFonts w:hint="eastAsia" w:ascii="宋体" w:hAnsi="宋体" w:eastAsia="宋体" w:cs="宋体"/>
                <w:sz w:val="18"/>
                <w:szCs w:val="18"/>
              </w:rPr>
            </w:pPr>
          </w:p>
        </w:tc>
        <w:tc>
          <w:tcPr>
            <w:tcW w:w="795" w:type="dxa"/>
            <w:noWrap w:val="0"/>
            <w:vAlign w:val="top"/>
          </w:tcPr>
          <w:p>
            <w:pPr>
              <w:spacing w:after="120" w:line="360" w:lineRule="auto"/>
              <w:rPr>
                <w:rFonts w:hint="eastAsia" w:ascii="宋体" w:hAnsi="宋体" w:eastAsia="宋体" w:cs="宋体"/>
                <w:sz w:val="18"/>
                <w:szCs w:val="18"/>
              </w:rPr>
            </w:pPr>
          </w:p>
        </w:tc>
        <w:tc>
          <w:tcPr>
            <w:tcW w:w="1495" w:type="dxa"/>
            <w:noWrap w:val="0"/>
            <w:vAlign w:val="top"/>
          </w:tcPr>
          <w:p>
            <w:pPr>
              <w:spacing w:after="120" w:line="360" w:lineRule="auto"/>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9" w:hRule="atLeast"/>
        </w:trPr>
        <w:tc>
          <w:tcPr>
            <w:tcW w:w="884" w:type="dxa"/>
            <w:noWrap w:val="0"/>
            <w:vAlign w:val="top"/>
          </w:tcPr>
          <w:p>
            <w:pPr>
              <w:spacing w:after="120" w:line="360" w:lineRule="auto"/>
              <w:rPr>
                <w:rFonts w:hint="eastAsia" w:ascii="宋体" w:hAnsi="宋体" w:eastAsia="宋体" w:cs="宋体"/>
                <w:sz w:val="18"/>
                <w:szCs w:val="18"/>
              </w:rPr>
            </w:pPr>
            <w:r>
              <w:rPr>
                <w:rFonts w:hint="eastAsia" w:ascii="宋体" w:hAnsi="宋体" w:eastAsia="宋体" w:cs="宋体"/>
                <w:sz w:val="18"/>
                <w:szCs w:val="18"/>
              </w:rPr>
              <w:t>3</w:t>
            </w:r>
          </w:p>
        </w:tc>
        <w:tc>
          <w:tcPr>
            <w:tcW w:w="1399" w:type="dxa"/>
            <w:noWrap w:val="0"/>
            <w:vAlign w:val="top"/>
          </w:tcPr>
          <w:p>
            <w:pPr>
              <w:spacing w:after="120" w:line="360" w:lineRule="auto"/>
              <w:rPr>
                <w:rFonts w:hint="eastAsia" w:ascii="宋体" w:hAnsi="宋体" w:eastAsia="宋体" w:cs="宋体"/>
                <w:sz w:val="18"/>
                <w:szCs w:val="18"/>
              </w:rPr>
            </w:pPr>
            <w:r>
              <w:rPr>
                <w:rFonts w:hint="eastAsia" w:ascii="宋体" w:hAnsi="宋体" w:eastAsia="宋体" w:cs="宋体"/>
                <w:sz w:val="18"/>
                <w:szCs w:val="18"/>
              </w:rPr>
              <w:t>停车管理系统</w:t>
            </w:r>
          </w:p>
        </w:tc>
        <w:tc>
          <w:tcPr>
            <w:tcW w:w="953" w:type="dxa"/>
            <w:noWrap w:val="0"/>
            <w:vAlign w:val="top"/>
          </w:tcPr>
          <w:p>
            <w:pPr>
              <w:spacing w:after="120" w:line="360" w:lineRule="auto"/>
              <w:rPr>
                <w:rFonts w:hint="eastAsia" w:ascii="宋体" w:hAnsi="宋体" w:eastAsia="宋体" w:cs="宋体"/>
                <w:sz w:val="18"/>
                <w:szCs w:val="18"/>
              </w:rPr>
            </w:pPr>
            <w:r>
              <w:rPr>
                <w:rFonts w:hint="eastAsia" w:ascii="宋体" w:hAnsi="宋体" w:eastAsia="宋体" w:cs="宋体"/>
                <w:sz w:val="18"/>
                <w:szCs w:val="18"/>
              </w:rPr>
              <w:t>20</w:t>
            </w:r>
          </w:p>
        </w:tc>
        <w:tc>
          <w:tcPr>
            <w:tcW w:w="2700" w:type="dxa"/>
            <w:noWrap w:val="0"/>
            <w:vAlign w:val="top"/>
          </w:tcPr>
          <w:p>
            <w:pPr>
              <w:spacing w:after="120" w:line="360" w:lineRule="auto"/>
              <w:rPr>
                <w:rFonts w:hint="eastAsia" w:ascii="宋体" w:hAnsi="宋体" w:eastAsia="宋体" w:cs="宋体"/>
                <w:sz w:val="18"/>
                <w:szCs w:val="18"/>
              </w:rPr>
            </w:pPr>
          </w:p>
        </w:tc>
        <w:tc>
          <w:tcPr>
            <w:tcW w:w="794" w:type="dxa"/>
            <w:noWrap w:val="0"/>
            <w:vAlign w:val="top"/>
          </w:tcPr>
          <w:p>
            <w:pPr>
              <w:spacing w:after="120" w:line="360" w:lineRule="auto"/>
              <w:rPr>
                <w:rFonts w:hint="eastAsia" w:ascii="宋体" w:hAnsi="宋体" w:eastAsia="宋体" w:cs="宋体"/>
                <w:sz w:val="18"/>
                <w:szCs w:val="18"/>
              </w:rPr>
            </w:pPr>
          </w:p>
        </w:tc>
        <w:tc>
          <w:tcPr>
            <w:tcW w:w="795" w:type="dxa"/>
            <w:noWrap w:val="0"/>
            <w:vAlign w:val="top"/>
          </w:tcPr>
          <w:p>
            <w:pPr>
              <w:spacing w:after="120" w:line="360" w:lineRule="auto"/>
              <w:rPr>
                <w:rFonts w:hint="eastAsia" w:ascii="宋体" w:hAnsi="宋体" w:eastAsia="宋体" w:cs="宋体"/>
                <w:sz w:val="18"/>
                <w:szCs w:val="18"/>
              </w:rPr>
            </w:pPr>
          </w:p>
        </w:tc>
        <w:tc>
          <w:tcPr>
            <w:tcW w:w="1495" w:type="dxa"/>
            <w:noWrap w:val="0"/>
            <w:vAlign w:val="top"/>
          </w:tcPr>
          <w:p>
            <w:pPr>
              <w:spacing w:after="120" w:line="360" w:lineRule="auto"/>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884" w:type="dxa"/>
            <w:noWrap w:val="0"/>
            <w:vAlign w:val="top"/>
          </w:tcPr>
          <w:p>
            <w:pPr>
              <w:spacing w:after="120" w:line="360" w:lineRule="auto"/>
              <w:rPr>
                <w:rFonts w:hint="eastAsia" w:ascii="宋体" w:hAnsi="宋体" w:eastAsia="宋体" w:cs="宋体"/>
                <w:sz w:val="18"/>
                <w:szCs w:val="18"/>
              </w:rPr>
            </w:pPr>
            <w:r>
              <w:rPr>
                <w:rFonts w:hint="eastAsia" w:ascii="宋体" w:hAnsi="宋体" w:eastAsia="宋体" w:cs="宋体"/>
                <w:sz w:val="18"/>
                <w:szCs w:val="18"/>
              </w:rPr>
              <w:t>4</w:t>
            </w:r>
          </w:p>
        </w:tc>
        <w:tc>
          <w:tcPr>
            <w:tcW w:w="1399" w:type="dxa"/>
            <w:noWrap w:val="0"/>
            <w:vAlign w:val="top"/>
          </w:tcPr>
          <w:p>
            <w:pPr>
              <w:spacing w:after="120" w:line="360" w:lineRule="auto"/>
              <w:rPr>
                <w:rFonts w:hint="eastAsia" w:ascii="宋体" w:hAnsi="宋体" w:eastAsia="宋体" w:cs="宋体"/>
                <w:sz w:val="18"/>
                <w:szCs w:val="18"/>
              </w:rPr>
            </w:pPr>
            <w:r>
              <w:rPr>
                <w:rFonts w:hint="eastAsia" w:ascii="宋体" w:hAnsi="宋体" w:eastAsia="宋体" w:cs="宋体"/>
                <w:sz w:val="18"/>
                <w:szCs w:val="18"/>
              </w:rPr>
              <w:t>ETC咨询服务</w:t>
            </w:r>
          </w:p>
        </w:tc>
        <w:tc>
          <w:tcPr>
            <w:tcW w:w="953" w:type="dxa"/>
            <w:noWrap w:val="0"/>
            <w:vAlign w:val="top"/>
          </w:tcPr>
          <w:p>
            <w:pPr>
              <w:spacing w:after="120" w:line="360" w:lineRule="auto"/>
              <w:rPr>
                <w:rFonts w:hint="eastAsia" w:ascii="宋体" w:hAnsi="宋体" w:eastAsia="宋体" w:cs="宋体"/>
                <w:sz w:val="18"/>
                <w:szCs w:val="18"/>
              </w:rPr>
            </w:pPr>
            <w:r>
              <w:rPr>
                <w:rFonts w:hint="eastAsia" w:ascii="宋体" w:hAnsi="宋体" w:eastAsia="宋体" w:cs="宋体"/>
                <w:sz w:val="18"/>
                <w:szCs w:val="18"/>
              </w:rPr>
              <w:t>10</w:t>
            </w:r>
          </w:p>
        </w:tc>
        <w:tc>
          <w:tcPr>
            <w:tcW w:w="2700" w:type="dxa"/>
            <w:noWrap w:val="0"/>
            <w:vAlign w:val="top"/>
          </w:tcPr>
          <w:p>
            <w:pPr>
              <w:spacing w:after="120" w:line="360" w:lineRule="auto"/>
              <w:rPr>
                <w:rFonts w:hint="eastAsia" w:ascii="宋体" w:hAnsi="宋体" w:eastAsia="宋体" w:cs="宋体"/>
                <w:sz w:val="18"/>
                <w:szCs w:val="18"/>
              </w:rPr>
            </w:pPr>
          </w:p>
        </w:tc>
        <w:tc>
          <w:tcPr>
            <w:tcW w:w="794" w:type="dxa"/>
            <w:noWrap w:val="0"/>
            <w:vAlign w:val="top"/>
          </w:tcPr>
          <w:p>
            <w:pPr>
              <w:spacing w:after="120" w:line="360" w:lineRule="auto"/>
              <w:rPr>
                <w:rFonts w:hint="eastAsia" w:ascii="宋体" w:hAnsi="宋体" w:eastAsia="宋体" w:cs="宋体"/>
                <w:sz w:val="18"/>
                <w:szCs w:val="18"/>
              </w:rPr>
            </w:pPr>
          </w:p>
        </w:tc>
        <w:tc>
          <w:tcPr>
            <w:tcW w:w="795" w:type="dxa"/>
            <w:noWrap w:val="0"/>
            <w:vAlign w:val="top"/>
          </w:tcPr>
          <w:p>
            <w:pPr>
              <w:spacing w:after="120" w:line="360" w:lineRule="auto"/>
              <w:rPr>
                <w:rFonts w:hint="eastAsia" w:ascii="宋体" w:hAnsi="宋体" w:eastAsia="宋体" w:cs="宋体"/>
                <w:sz w:val="18"/>
                <w:szCs w:val="18"/>
              </w:rPr>
            </w:pPr>
          </w:p>
        </w:tc>
        <w:tc>
          <w:tcPr>
            <w:tcW w:w="1495" w:type="dxa"/>
            <w:noWrap w:val="0"/>
            <w:vAlign w:val="top"/>
          </w:tcPr>
          <w:p>
            <w:pPr>
              <w:spacing w:after="120" w:line="360" w:lineRule="auto"/>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884" w:type="dxa"/>
            <w:noWrap w:val="0"/>
            <w:vAlign w:val="top"/>
          </w:tcPr>
          <w:p>
            <w:pPr>
              <w:spacing w:after="120" w:line="360" w:lineRule="auto"/>
              <w:rPr>
                <w:rFonts w:hint="eastAsia" w:ascii="宋体" w:hAnsi="宋体" w:eastAsia="宋体" w:cs="宋体"/>
                <w:sz w:val="18"/>
                <w:szCs w:val="18"/>
              </w:rPr>
            </w:pPr>
            <w:r>
              <w:rPr>
                <w:rFonts w:hint="eastAsia" w:ascii="宋体" w:hAnsi="宋体" w:eastAsia="宋体" w:cs="宋体"/>
                <w:sz w:val="18"/>
                <w:szCs w:val="18"/>
              </w:rPr>
              <w:t>5</w:t>
            </w:r>
          </w:p>
        </w:tc>
        <w:tc>
          <w:tcPr>
            <w:tcW w:w="1399" w:type="dxa"/>
            <w:noWrap w:val="0"/>
            <w:vAlign w:val="top"/>
          </w:tcPr>
          <w:p>
            <w:pPr>
              <w:spacing w:after="120" w:line="360" w:lineRule="auto"/>
              <w:rPr>
                <w:rFonts w:hint="eastAsia" w:ascii="宋体" w:hAnsi="宋体" w:eastAsia="宋体" w:cs="宋体"/>
                <w:sz w:val="18"/>
                <w:szCs w:val="18"/>
              </w:rPr>
            </w:pPr>
            <w:r>
              <w:rPr>
                <w:rFonts w:hint="eastAsia" w:ascii="宋体" w:hAnsi="宋体" w:eastAsia="宋体" w:cs="宋体"/>
                <w:sz w:val="18"/>
                <w:szCs w:val="18"/>
              </w:rPr>
              <w:t>ETC投诉服务</w:t>
            </w:r>
          </w:p>
        </w:tc>
        <w:tc>
          <w:tcPr>
            <w:tcW w:w="953" w:type="dxa"/>
            <w:noWrap w:val="0"/>
            <w:vAlign w:val="top"/>
          </w:tcPr>
          <w:p>
            <w:pPr>
              <w:spacing w:after="120" w:line="360" w:lineRule="auto"/>
              <w:rPr>
                <w:rFonts w:hint="eastAsia" w:ascii="宋体" w:hAnsi="宋体" w:eastAsia="宋体" w:cs="宋体"/>
                <w:sz w:val="18"/>
                <w:szCs w:val="18"/>
              </w:rPr>
            </w:pPr>
            <w:r>
              <w:rPr>
                <w:rFonts w:hint="eastAsia" w:ascii="宋体" w:hAnsi="宋体" w:eastAsia="宋体" w:cs="宋体"/>
                <w:sz w:val="18"/>
                <w:szCs w:val="18"/>
              </w:rPr>
              <w:t>20</w:t>
            </w:r>
          </w:p>
        </w:tc>
        <w:tc>
          <w:tcPr>
            <w:tcW w:w="2700" w:type="dxa"/>
            <w:noWrap w:val="0"/>
            <w:vAlign w:val="top"/>
          </w:tcPr>
          <w:p>
            <w:pPr>
              <w:spacing w:after="120" w:line="360" w:lineRule="auto"/>
              <w:rPr>
                <w:rFonts w:hint="eastAsia" w:ascii="宋体" w:hAnsi="宋体" w:eastAsia="宋体" w:cs="宋体"/>
                <w:sz w:val="18"/>
                <w:szCs w:val="18"/>
              </w:rPr>
            </w:pPr>
          </w:p>
        </w:tc>
        <w:tc>
          <w:tcPr>
            <w:tcW w:w="794" w:type="dxa"/>
            <w:noWrap w:val="0"/>
            <w:vAlign w:val="top"/>
          </w:tcPr>
          <w:p>
            <w:pPr>
              <w:spacing w:after="120" w:line="360" w:lineRule="auto"/>
              <w:rPr>
                <w:rFonts w:hint="eastAsia" w:ascii="宋体" w:hAnsi="宋体" w:eastAsia="宋体" w:cs="宋体"/>
                <w:sz w:val="18"/>
                <w:szCs w:val="18"/>
              </w:rPr>
            </w:pPr>
          </w:p>
        </w:tc>
        <w:tc>
          <w:tcPr>
            <w:tcW w:w="795" w:type="dxa"/>
            <w:noWrap w:val="0"/>
            <w:vAlign w:val="top"/>
          </w:tcPr>
          <w:p>
            <w:pPr>
              <w:spacing w:after="120" w:line="360" w:lineRule="auto"/>
              <w:rPr>
                <w:rFonts w:hint="eastAsia" w:ascii="宋体" w:hAnsi="宋体" w:eastAsia="宋体" w:cs="宋体"/>
                <w:sz w:val="18"/>
                <w:szCs w:val="18"/>
              </w:rPr>
            </w:pPr>
          </w:p>
        </w:tc>
        <w:tc>
          <w:tcPr>
            <w:tcW w:w="1495" w:type="dxa"/>
            <w:noWrap w:val="0"/>
            <w:vAlign w:val="top"/>
          </w:tcPr>
          <w:p>
            <w:pPr>
              <w:spacing w:after="120" w:line="360" w:lineRule="auto"/>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rPr>
        <w:tc>
          <w:tcPr>
            <w:tcW w:w="884" w:type="dxa"/>
            <w:noWrap w:val="0"/>
            <w:vAlign w:val="top"/>
          </w:tcPr>
          <w:p>
            <w:pPr>
              <w:spacing w:after="120" w:line="360" w:lineRule="auto"/>
              <w:rPr>
                <w:rFonts w:hint="eastAsia" w:ascii="宋体" w:hAnsi="宋体" w:eastAsia="宋体" w:cs="宋体"/>
                <w:sz w:val="18"/>
                <w:szCs w:val="18"/>
              </w:rPr>
            </w:pPr>
            <w:r>
              <w:rPr>
                <w:rFonts w:hint="eastAsia" w:ascii="宋体" w:hAnsi="宋体" w:eastAsia="宋体" w:cs="宋体"/>
                <w:sz w:val="18"/>
                <w:szCs w:val="18"/>
              </w:rPr>
              <w:t>6</w:t>
            </w:r>
          </w:p>
        </w:tc>
        <w:tc>
          <w:tcPr>
            <w:tcW w:w="5052" w:type="dxa"/>
            <w:gridSpan w:val="3"/>
            <w:noWrap w:val="0"/>
            <w:vAlign w:val="top"/>
          </w:tcPr>
          <w:p>
            <w:pPr>
              <w:spacing w:after="120" w:line="360" w:lineRule="auto"/>
              <w:jc w:val="center"/>
              <w:rPr>
                <w:rFonts w:hint="eastAsia" w:ascii="宋体" w:hAnsi="宋体" w:eastAsia="宋体" w:cs="宋体"/>
                <w:sz w:val="18"/>
                <w:szCs w:val="18"/>
              </w:rPr>
            </w:pPr>
            <w:r>
              <w:rPr>
                <w:rFonts w:hint="eastAsia" w:ascii="宋体" w:hAnsi="宋体" w:eastAsia="宋体" w:cs="宋体"/>
                <w:sz w:val="18"/>
                <w:szCs w:val="18"/>
              </w:rPr>
              <w:t>合计</w:t>
            </w:r>
          </w:p>
        </w:tc>
        <w:tc>
          <w:tcPr>
            <w:tcW w:w="794" w:type="dxa"/>
            <w:noWrap w:val="0"/>
            <w:vAlign w:val="top"/>
          </w:tcPr>
          <w:p>
            <w:pPr>
              <w:spacing w:after="120" w:line="360" w:lineRule="auto"/>
              <w:rPr>
                <w:rFonts w:hint="eastAsia" w:ascii="宋体" w:hAnsi="宋体" w:eastAsia="宋体" w:cs="宋体"/>
                <w:sz w:val="18"/>
                <w:szCs w:val="18"/>
              </w:rPr>
            </w:pPr>
            <w:r>
              <w:rPr>
                <w:rFonts w:hint="eastAsia" w:ascii="宋体" w:hAnsi="宋体" w:eastAsia="宋体" w:cs="宋体"/>
                <w:sz w:val="18"/>
                <w:szCs w:val="18"/>
              </w:rPr>
              <w:t>100</w:t>
            </w:r>
          </w:p>
        </w:tc>
        <w:tc>
          <w:tcPr>
            <w:tcW w:w="795" w:type="dxa"/>
            <w:noWrap w:val="0"/>
            <w:vAlign w:val="top"/>
          </w:tcPr>
          <w:p>
            <w:pPr>
              <w:spacing w:after="120" w:line="360" w:lineRule="auto"/>
              <w:rPr>
                <w:rFonts w:hint="eastAsia" w:ascii="宋体" w:hAnsi="宋体" w:eastAsia="宋体" w:cs="宋体"/>
                <w:sz w:val="18"/>
                <w:szCs w:val="18"/>
              </w:rPr>
            </w:pPr>
          </w:p>
        </w:tc>
        <w:tc>
          <w:tcPr>
            <w:tcW w:w="1495" w:type="dxa"/>
            <w:noWrap w:val="0"/>
            <w:vAlign w:val="top"/>
          </w:tcPr>
          <w:p>
            <w:pPr>
              <w:spacing w:after="120" w:line="360" w:lineRule="auto"/>
              <w:rPr>
                <w:rFonts w:hint="eastAsia" w:ascii="宋体" w:hAnsi="宋体" w:eastAsia="宋体" w:cs="宋体"/>
                <w:sz w:val="18"/>
                <w:szCs w:val="18"/>
              </w:rPr>
            </w:pPr>
          </w:p>
        </w:tc>
      </w:tr>
    </w:tbl>
    <w:p>
      <w:pPr>
        <w:spacing w:line="360" w:lineRule="auto"/>
        <w:rPr>
          <w:rFonts w:hint="eastAsia" w:ascii="黑体" w:hAnsi="Times New Roman" w:eastAsia="黑体" w:cs="Times New Roman"/>
          <w:kern w:val="0"/>
          <w:sz w:val="21"/>
          <w:szCs w:val="22"/>
          <w:lang w:val="en-US" w:eastAsia="zh-CN" w:bidi="ar-SA"/>
        </w:rPr>
      </w:pPr>
      <w:r>
        <w:rPr>
          <w:rFonts w:hint="eastAsia" w:ascii="黑体" w:hAnsi="Times New Roman" w:eastAsia="黑体" w:cs="Times New Roman"/>
          <w:kern w:val="0"/>
          <w:sz w:val="21"/>
          <w:szCs w:val="22"/>
          <w:lang w:val="en-US" w:eastAsia="zh-CN" w:bidi="ar-SA"/>
        </w:rPr>
        <w:br w:type="page"/>
      </w:r>
    </w:p>
    <w:p>
      <w:pPr>
        <w:pStyle w:val="31"/>
        <w:numPr>
          <w:ilvl w:val="1"/>
          <w:numId w:val="0"/>
        </w:numPr>
        <w:spacing w:before="156" w:after="156" w:line="360" w:lineRule="auto"/>
        <w:ind w:leftChars="0"/>
        <w:jc w:val="center"/>
        <w:rPr>
          <w:rFonts w:hint="eastAsia" w:ascii="黑体" w:hAnsi="Times New Roman" w:eastAsia="黑体" w:cs="Times New Roman"/>
          <w:kern w:val="0"/>
          <w:sz w:val="21"/>
          <w:szCs w:val="22"/>
          <w:lang w:val="en-US" w:eastAsia="zh-CN" w:bidi="ar-SA"/>
        </w:rPr>
      </w:pPr>
      <w:bookmarkStart w:id="113" w:name="_Toc3800"/>
      <w:r>
        <w:rPr>
          <w:rFonts w:hint="eastAsia" w:ascii="黑体" w:hAnsi="Times New Roman" w:eastAsia="黑体" w:cs="Times New Roman"/>
          <w:kern w:val="0"/>
          <w:sz w:val="21"/>
          <w:szCs w:val="22"/>
          <w:lang w:val="en-US" w:eastAsia="zh-CN" w:bidi="ar-SA"/>
        </w:rPr>
        <w:t>附</w:t>
      </w:r>
      <w:r>
        <w:rPr>
          <w:rFonts w:hint="eastAsia" w:cs="Times New Roman"/>
          <w:kern w:val="0"/>
          <w:sz w:val="21"/>
          <w:szCs w:val="22"/>
          <w:lang w:val="en-US" w:eastAsia="zh-CN" w:bidi="ar-SA"/>
        </w:rPr>
        <w:t>　</w:t>
      </w:r>
      <w:r>
        <w:rPr>
          <w:rFonts w:hint="eastAsia" w:ascii="黑体" w:hAnsi="Times New Roman" w:eastAsia="黑体" w:cs="Times New Roman"/>
          <w:kern w:val="0"/>
          <w:sz w:val="21"/>
          <w:szCs w:val="22"/>
          <w:lang w:val="en-US" w:eastAsia="zh-CN" w:bidi="ar-SA"/>
        </w:rPr>
        <w:t>录</w:t>
      </w:r>
      <w:r>
        <w:rPr>
          <w:rFonts w:hint="eastAsia" w:cs="Times New Roman"/>
          <w:kern w:val="0"/>
          <w:sz w:val="21"/>
          <w:szCs w:val="22"/>
          <w:lang w:val="en-US" w:eastAsia="zh-CN" w:bidi="ar-SA"/>
        </w:rPr>
        <w:t>　B</w:t>
      </w:r>
      <w:bookmarkEnd w:id="113"/>
    </w:p>
    <w:p>
      <w:pPr>
        <w:bidi w:val="0"/>
        <w:spacing w:line="360" w:lineRule="auto"/>
        <w:jc w:val="center"/>
        <w:rPr>
          <w:rFonts w:hint="eastAsia" w:ascii="黑体" w:hAnsi="Times New Roman" w:eastAsia="黑体" w:cs="Times New Roman"/>
          <w:kern w:val="0"/>
          <w:sz w:val="21"/>
          <w:szCs w:val="22"/>
          <w:lang w:val="en-US" w:eastAsia="zh-CN" w:bidi="ar-SA"/>
        </w:rPr>
      </w:pPr>
      <w:r>
        <w:rPr>
          <w:rFonts w:hint="eastAsia" w:ascii="黑体" w:hAnsi="Times New Roman" w:eastAsia="黑体" w:cs="Times New Roman"/>
          <w:kern w:val="0"/>
          <w:sz w:val="21"/>
          <w:szCs w:val="22"/>
          <w:lang w:val="en-US" w:eastAsia="zh-CN" w:bidi="ar-SA"/>
        </w:rPr>
        <w:t>(资料性)</w:t>
      </w:r>
    </w:p>
    <w:p>
      <w:pPr>
        <w:bidi w:val="0"/>
        <w:spacing w:line="360" w:lineRule="auto"/>
        <w:jc w:val="center"/>
        <w:rPr>
          <w:rFonts w:hint="eastAsia" w:ascii="黑体" w:hAnsi="Times New Roman" w:eastAsia="黑体" w:cs="Times New Roman"/>
          <w:kern w:val="0"/>
          <w:sz w:val="21"/>
          <w:szCs w:val="22"/>
          <w:lang w:val="en-US" w:eastAsia="zh-CN" w:bidi="ar-SA"/>
        </w:rPr>
      </w:pPr>
      <w:r>
        <w:rPr>
          <w:rFonts w:hint="eastAsia" w:ascii="黑体" w:hAnsi="Times New Roman" w:eastAsia="黑体" w:cs="Times New Roman"/>
          <w:kern w:val="0"/>
          <w:sz w:val="21"/>
          <w:szCs w:val="22"/>
          <w:lang w:val="en-US" w:eastAsia="zh-CN" w:bidi="ar-SA"/>
        </w:rPr>
        <w:t>ETC车道收费系统常见问题处理</w:t>
      </w:r>
    </w:p>
    <w:p>
      <w:pPr>
        <w:pStyle w:val="2"/>
        <w:bidi w:val="0"/>
        <w:ind w:left="840" w:leftChars="0" w:hanging="420" w:firstLineChars="0"/>
        <w:rPr>
          <w:rFonts w:hint="eastAsia" w:ascii="黑体" w:hAnsi="黑体" w:eastAsia="黑体" w:cs="黑体"/>
          <w:b w:val="0"/>
          <w:bCs/>
          <w:sz w:val="21"/>
          <w:szCs w:val="21"/>
          <w:lang w:eastAsia="zh-CN"/>
        </w:rPr>
      </w:pPr>
      <w:r>
        <w:rPr>
          <w:rFonts w:hint="eastAsia" w:ascii="黑体" w:hAnsi="黑体" w:eastAsia="黑体" w:cs="黑体"/>
          <w:b w:val="0"/>
          <w:bCs/>
          <w:sz w:val="21"/>
          <w:szCs w:val="21"/>
        </w:rPr>
        <w:t>满足 ETC车道系统过车的条件，但是显示无标签</w:t>
      </w:r>
      <w:r>
        <w:rPr>
          <w:rFonts w:hint="eastAsia" w:ascii="黑体" w:hAnsi="黑体" w:eastAsia="黑体" w:cs="黑体"/>
          <w:b w:val="0"/>
          <w:bCs/>
          <w:sz w:val="21"/>
          <w:szCs w:val="21"/>
          <w:lang w:eastAsia="zh-CN"/>
        </w:rPr>
        <w:t>。</w:t>
      </w:r>
    </w:p>
    <w:p>
      <w:pPr>
        <w:pStyle w:val="28"/>
        <w:rPr>
          <w:rFonts w:hint="eastAsia"/>
          <w:b w:val="0"/>
          <w:bCs/>
          <w:lang w:eastAsia="zh-CN"/>
        </w:rPr>
      </w:pPr>
    </w:p>
    <w:p>
      <w:pPr>
        <w:spacing w:after="120" w:line="360" w:lineRule="auto"/>
        <w:ind w:firstLine="420" w:firstLineChars="0"/>
        <w:rPr>
          <w:rFonts w:hint="eastAsia" w:ascii="宋体" w:hAnsi="宋体" w:eastAsia="宋体" w:cs="宋体"/>
          <w:b w:val="0"/>
          <w:bCs/>
          <w:color w:val="000000"/>
          <w:kern w:val="0"/>
          <w:szCs w:val="24"/>
        </w:rPr>
      </w:pPr>
      <w:r>
        <w:rPr>
          <w:rFonts w:hint="eastAsia" w:ascii="宋体" w:hAnsi="宋体" w:eastAsia="宋体" w:cs="宋体"/>
          <w:b w:val="0"/>
          <w:bCs/>
        </w:rPr>
        <w:t>偶尔出现这种情况时，可能是电子标签（也就是OBU）与天线通信不好，可以引导到 MTC车道处理。如果出现所有满足 ETC车道系统过车条件的车辆都无法过车，可能是天线死机了，重启天线控制器即可。</w:t>
      </w:r>
      <w:r>
        <w:rPr>
          <w:rFonts w:hint="eastAsia" w:ascii="宋体" w:hAnsi="宋体" w:eastAsia="宋体" w:cs="宋体"/>
          <w:b w:val="0"/>
          <w:bCs/>
          <w:color w:val="000000"/>
          <w:kern w:val="0"/>
          <w:szCs w:val="24"/>
        </w:rPr>
        <w:t xml:space="preserve"> </w:t>
      </w:r>
    </w:p>
    <w:p>
      <w:pPr>
        <w:pStyle w:val="2"/>
        <w:bidi w:val="0"/>
        <w:ind w:left="840" w:leftChars="0" w:hanging="420" w:firstLineChars="0"/>
        <w:rPr>
          <w:rFonts w:hint="eastAsia" w:ascii="黑体" w:hAnsi="黑体" w:eastAsia="黑体" w:cs="黑体"/>
          <w:b w:val="0"/>
          <w:bCs/>
          <w:sz w:val="21"/>
          <w:szCs w:val="21"/>
          <w:lang w:val="en-US" w:eastAsia="zh-CN"/>
        </w:rPr>
      </w:pPr>
      <w:r>
        <w:rPr>
          <w:rFonts w:hint="eastAsia" w:ascii="黑体" w:hAnsi="黑体" w:eastAsia="黑体" w:cs="黑体"/>
          <w:b w:val="0"/>
          <w:bCs/>
          <w:sz w:val="21"/>
          <w:szCs w:val="21"/>
          <w:lang w:val="en-US" w:eastAsia="zh-CN"/>
        </w:rPr>
        <w:t>没有车辆通过时，系统不断报警无电子标签。</w:t>
      </w:r>
    </w:p>
    <w:p>
      <w:pPr>
        <w:spacing w:after="120" w:line="360" w:lineRule="auto"/>
        <w:ind w:firstLine="420" w:firstLineChars="0"/>
        <w:rPr>
          <w:b w:val="0"/>
          <w:bCs/>
        </w:rPr>
      </w:pPr>
      <w:r>
        <w:rPr>
          <w:b w:val="0"/>
          <w:bCs/>
        </w:rPr>
        <w:t xml:space="preserve">出现这种情况，是车检器不能正常工作了，可重启车检器。或者可以看车道系统终端的线圈图标，将一直处于过车状态的那个线圈的车检器重启就可以了。 </w:t>
      </w:r>
    </w:p>
    <w:p>
      <w:pPr>
        <w:pStyle w:val="2"/>
        <w:bidi w:val="0"/>
        <w:ind w:left="840" w:leftChars="0" w:hanging="420" w:firstLineChars="0"/>
        <w:rPr>
          <w:rFonts w:hint="eastAsia" w:ascii="黑体" w:hAnsi="黑体" w:eastAsia="黑体" w:cs="黑体"/>
          <w:b w:val="0"/>
          <w:bCs/>
          <w:sz w:val="21"/>
          <w:szCs w:val="21"/>
          <w:lang w:val="en-US" w:eastAsia="zh-CN"/>
        </w:rPr>
      </w:pPr>
      <w:r>
        <w:rPr>
          <w:rFonts w:hint="eastAsia" w:ascii="黑体" w:hAnsi="黑体" w:eastAsia="黑体" w:cs="黑体"/>
          <w:b w:val="0"/>
          <w:bCs/>
          <w:sz w:val="21"/>
          <w:szCs w:val="21"/>
          <w:lang w:val="en-US" w:eastAsia="zh-CN"/>
        </w:rPr>
        <w:t>满足ETC车道系统过车的条件，但过车时无任何反应。</w:t>
      </w:r>
    </w:p>
    <w:p>
      <w:pPr>
        <w:spacing w:after="120" w:line="360" w:lineRule="auto"/>
        <w:ind w:firstLine="420" w:firstLineChars="0"/>
        <w:rPr>
          <w:b w:val="0"/>
          <w:bCs/>
        </w:rPr>
      </w:pPr>
      <w:r>
        <w:rPr>
          <w:b w:val="0"/>
          <w:bCs/>
        </w:rPr>
        <w:t xml:space="preserve">车道系统是通过采集车检器的状态来触发工作的，出现这种情况，是车检器不能正常工作了，可重启车检器。 </w:t>
      </w:r>
    </w:p>
    <w:p>
      <w:pPr>
        <w:pStyle w:val="2"/>
        <w:bidi w:val="0"/>
        <w:ind w:left="840" w:leftChars="0" w:hanging="420" w:firstLineChars="0"/>
        <w:rPr>
          <w:rFonts w:hint="eastAsia" w:ascii="黑体" w:hAnsi="黑体" w:eastAsia="黑体" w:cs="黑体"/>
          <w:b w:val="0"/>
          <w:bCs/>
          <w:sz w:val="21"/>
          <w:szCs w:val="21"/>
          <w:lang w:val="en-US" w:eastAsia="zh-CN"/>
        </w:rPr>
      </w:pPr>
      <w:r>
        <w:rPr>
          <w:rFonts w:hint="eastAsia" w:ascii="黑体" w:hAnsi="黑体" w:eastAsia="黑体" w:cs="黑体"/>
          <w:b w:val="0"/>
          <w:bCs/>
          <w:sz w:val="21"/>
          <w:szCs w:val="21"/>
          <w:lang w:val="en-US" w:eastAsia="zh-CN"/>
        </w:rPr>
        <w:t>ETC 智慧停车上传数据不完整。</w:t>
      </w:r>
    </w:p>
    <w:p>
      <w:pPr>
        <w:spacing w:after="120" w:line="360" w:lineRule="auto"/>
        <w:ind w:firstLine="420" w:firstLineChars="0"/>
        <w:rPr>
          <w:b w:val="0"/>
          <w:bCs/>
        </w:rPr>
      </w:pPr>
      <w:r>
        <w:rPr>
          <w:b w:val="0"/>
          <w:bCs/>
        </w:rPr>
        <w:t xml:space="preserve">ETC </w:t>
      </w:r>
      <w:r>
        <w:rPr>
          <w:rFonts w:hint="eastAsia"/>
          <w:b w:val="0"/>
          <w:bCs/>
          <w:lang w:val="en-US" w:eastAsia="zh-CN"/>
        </w:rPr>
        <w:t>智慧停车</w:t>
      </w:r>
      <w:r>
        <w:rPr>
          <w:b w:val="0"/>
          <w:bCs/>
        </w:rPr>
        <w:t xml:space="preserve">通过车道通信代理、站级通信代理两级传送向上传送。出现 </w:t>
      </w:r>
      <w:r>
        <w:rPr>
          <w:rFonts w:hint="eastAsia"/>
          <w:b w:val="0"/>
          <w:bCs/>
          <w:lang w:eastAsia="zh-CN"/>
        </w:rPr>
        <w:t>ETC 智慧停车</w:t>
      </w:r>
      <w:r>
        <w:rPr>
          <w:b w:val="0"/>
          <w:bCs/>
        </w:rPr>
        <w:t xml:space="preserve">上传数据不完整时，要先查看这两级通信代理是否正常工作，防止人为关掉通信代理程序；或者可能是这两级通信系统之间的网络出现故障引起（查看显示器网络状态）。 </w:t>
      </w:r>
    </w:p>
    <w:p>
      <w:pPr>
        <w:pStyle w:val="2"/>
        <w:bidi w:val="0"/>
        <w:ind w:left="840" w:leftChars="0" w:hanging="420" w:firstLineChars="0"/>
        <w:rPr>
          <w:rFonts w:hint="eastAsia" w:ascii="黑体" w:hAnsi="黑体" w:eastAsia="黑体" w:cs="黑体"/>
          <w:b w:val="0"/>
          <w:bCs/>
          <w:sz w:val="21"/>
          <w:szCs w:val="21"/>
          <w:lang w:val="en-US" w:eastAsia="zh-CN"/>
        </w:rPr>
      </w:pPr>
      <w:r>
        <w:rPr>
          <w:rFonts w:hint="eastAsia" w:ascii="黑体" w:hAnsi="黑体" w:eastAsia="黑体" w:cs="黑体"/>
          <w:b w:val="0"/>
          <w:bCs/>
          <w:sz w:val="21"/>
          <w:szCs w:val="21"/>
          <w:lang w:val="en-US" w:eastAsia="zh-CN"/>
        </w:rPr>
        <w:t>ETC 智慧停车上传数据记录数为0。</w:t>
      </w:r>
    </w:p>
    <w:p>
      <w:pPr>
        <w:spacing w:after="120" w:line="360" w:lineRule="auto"/>
        <w:ind w:firstLine="420" w:firstLineChars="0"/>
        <w:rPr>
          <w:b w:val="0"/>
          <w:bCs/>
        </w:rPr>
      </w:pPr>
      <w:r>
        <w:rPr>
          <w:b w:val="0"/>
          <w:bCs/>
        </w:rPr>
        <w:t>出现这种情况，要确认这个工班时间段内车道系统是否真的关掉了，或者车道被封闭了。出现这种情况时，系统是正常运作的，因为</w:t>
      </w:r>
      <w:r>
        <w:rPr>
          <w:rFonts w:hint="eastAsia"/>
          <w:b w:val="0"/>
          <w:bCs/>
        </w:rPr>
        <w:t>这表明系统已经上传了有工班结束标志的工班日志。</w:t>
      </w:r>
    </w:p>
    <w:p>
      <w:pPr>
        <w:pStyle w:val="2"/>
        <w:bidi w:val="0"/>
        <w:ind w:left="840" w:leftChars="0" w:hanging="420" w:firstLineChars="0"/>
        <w:rPr>
          <w:rFonts w:hint="eastAsia" w:ascii="黑体" w:hAnsi="黑体" w:eastAsia="黑体" w:cs="黑体"/>
          <w:b w:val="0"/>
          <w:bCs/>
          <w:sz w:val="21"/>
          <w:szCs w:val="21"/>
          <w:lang w:val="en-US" w:eastAsia="zh-CN"/>
        </w:rPr>
      </w:pPr>
      <w:r>
        <w:rPr>
          <w:rFonts w:hint="eastAsia" w:ascii="黑体" w:hAnsi="黑体" w:eastAsia="黑体" w:cs="黑体"/>
          <w:b w:val="0"/>
          <w:bCs/>
          <w:sz w:val="21"/>
          <w:szCs w:val="21"/>
          <w:lang w:val="en-US" w:eastAsia="zh-CN"/>
        </w:rPr>
        <w:t>出现突然断电情况。</w:t>
      </w:r>
    </w:p>
    <w:p>
      <w:pPr>
        <w:spacing w:after="120" w:line="360" w:lineRule="auto"/>
        <w:ind w:firstLine="420" w:firstLineChars="0"/>
        <w:rPr>
          <w:b w:val="0"/>
          <w:bCs/>
        </w:rPr>
      </w:pPr>
      <w:r>
        <w:rPr>
          <w:rFonts w:hint="eastAsia"/>
          <w:b w:val="0"/>
          <w:bCs/>
          <w:lang w:eastAsia="zh-CN"/>
        </w:rPr>
        <w:t>ETC 智慧停车</w:t>
      </w:r>
      <w:r>
        <w:rPr>
          <w:b w:val="0"/>
          <w:bCs/>
        </w:rPr>
        <w:t xml:space="preserve">正在运作时出现突然断电。在系统恢复正常后，如果出现 </w:t>
      </w:r>
      <w:r>
        <w:rPr>
          <w:rFonts w:hint="eastAsia"/>
          <w:b w:val="0"/>
          <w:bCs/>
          <w:lang w:eastAsia="zh-CN"/>
        </w:rPr>
        <w:t>ETC 智慧停车</w:t>
      </w:r>
      <w:r>
        <w:rPr>
          <w:b w:val="0"/>
          <w:bCs/>
        </w:rPr>
        <w:t>上传数据不完整时，先要根据第 4 步，确认所有收费数据完全上传。确实由于收费系统突然关闭造成数据不完整时，</w:t>
      </w:r>
      <w:r>
        <w:rPr>
          <w:rFonts w:hint="eastAsia"/>
          <w:b w:val="0"/>
          <w:bCs/>
        </w:rPr>
        <w:t>需要通过停车场管理系统进行数据补传</w:t>
      </w:r>
      <w:r>
        <w:rPr>
          <w:b w:val="0"/>
          <w:bCs/>
        </w:rPr>
        <w:t xml:space="preserve">。 </w:t>
      </w:r>
    </w:p>
    <w:p>
      <w:pPr>
        <w:pStyle w:val="2"/>
        <w:bidi w:val="0"/>
        <w:ind w:left="840" w:leftChars="0" w:hanging="420" w:firstLineChars="0"/>
        <w:rPr>
          <w:rFonts w:hint="eastAsia" w:ascii="黑体" w:hAnsi="黑体" w:eastAsia="黑体" w:cs="黑体"/>
          <w:b w:val="0"/>
          <w:bCs/>
          <w:sz w:val="21"/>
          <w:szCs w:val="21"/>
          <w:lang w:val="en-US" w:eastAsia="zh-CN"/>
        </w:rPr>
      </w:pPr>
      <w:r>
        <w:rPr>
          <w:rFonts w:hint="eastAsia" w:ascii="黑体" w:hAnsi="黑体" w:eastAsia="黑体" w:cs="黑体"/>
          <w:b w:val="0"/>
          <w:bCs/>
          <w:sz w:val="21"/>
          <w:szCs w:val="21"/>
          <w:lang w:val="en-US" w:eastAsia="zh-CN"/>
        </w:rPr>
        <w:t>维护人员无法解决故障。</w:t>
      </w:r>
    </w:p>
    <w:p>
      <w:pPr>
        <w:spacing w:after="120" w:line="360" w:lineRule="auto"/>
        <w:ind w:firstLine="420" w:firstLineChars="0"/>
        <w:rPr>
          <w:rFonts w:ascii="宋体" w:hAnsi="宋体" w:eastAsia="宋体" w:cs="宋体"/>
          <w:b w:val="0"/>
          <w:bCs/>
          <w:color w:val="000000"/>
          <w:kern w:val="0"/>
          <w:szCs w:val="24"/>
        </w:rPr>
      </w:pPr>
      <w:r>
        <w:rPr>
          <w:b w:val="0"/>
          <w:bCs/>
        </w:rPr>
        <w:t>出现维护人员无法解决的故障时，维护人员要及时联系 ET</w:t>
      </w:r>
      <w:r>
        <w:rPr>
          <w:rFonts w:hint="eastAsia"/>
          <w:b w:val="0"/>
          <w:bCs/>
        </w:rPr>
        <w:t>C</w:t>
      </w:r>
      <w:r>
        <w:rPr>
          <w:b w:val="0"/>
          <w:bCs/>
        </w:rPr>
        <w:t>收费系统的开发商，进行协商解决问题。维护人员要熟悉各个系统的程序文件结构，能准确提供开发商所需的车道工作日志文件、通信日志文件</w:t>
      </w:r>
      <w:r>
        <w:rPr>
          <w:rFonts w:hint="eastAsia"/>
          <w:b w:val="0"/>
          <w:bCs/>
          <w:lang w:val="en-US" w:eastAsia="zh-CN"/>
        </w:rPr>
        <w:t>及</w:t>
      </w:r>
      <w:r>
        <w:rPr>
          <w:b w:val="0"/>
          <w:bCs/>
        </w:rPr>
        <w:t>收费数据文件。</w:t>
      </w:r>
      <w:r>
        <w:rPr>
          <w:rFonts w:ascii="宋体" w:hAnsi="宋体" w:eastAsia="宋体" w:cs="宋体"/>
          <w:b w:val="0"/>
          <w:bCs/>
          <w:color w:val="000000"/>
          <w:kern w:val="0"/>
          <w:szCs w:val="24"/>
        </w:rPr>
        <w:t xml:space="preserve"> </w:t>
      </w:r>
    </w:p>
    <w:p>
      <w:pPr>
        <w:pStyle w:val="2"/>
        <w:bidi w:val="0"/>
        <w:ind w:left="840" w:leftChars="0" w:hanging="420" w:firstLineChars="0"/>
        <w:rPr>
          <w:rFonts w:hint="eastAsia" w:ascii="黑体" w:hAnsi="黑体" w:eastAsia="黑体" w:cs="黑体"/>
          <w:b w:val="0"/>
          <w:bCs/>
          <w:sz w:val="21"/>
          <w:szCs w:val="21"/>
          <w:lang w:val="en-US" w:eastAsia="zh-CN"/>
        </w:rPr>
      </w:pPr>
      <w:r>
        <w:rPr>
          <w:rFonts w:hint="eastAsia" w:ascii="黑体" w:hAnsi="黑体" w:eastAsia="黑体" w:cs="黑体"/>
          <w:b w:val="0"/>
          <w:bCs/>
          <w:sz w:val="21"/>
          <w:szCs w:val="21"/>
          <w:lang w:val="en-US" w:eastAsia="zh-CN"/>
        </w:rPr>
        <w:t>RSU初始化不成功，运行交易测试软件无任何显示。</w:t>
      </w:r>
    </w:p>
    <w:p>
      <w:pPr>
        <w:spacing w:after="120" w:line="360" w:lineRule="auto"/>
        <w:ind w:firstLine="420" w:firstLineChars="0"/>
        <w:rPr>
          <w:b w:val="0"/>
          <w:bCs/>
        </w:rPr>
      </w:pPr>
      <w:r>
        <w:rPr>
          <w:rFonts w:hint="eastAsia"/>
          <w:b w:val="0"/>
          <w:bCs/>
        </w:rPr>
        <w:t>检查通信串口或网口通信连接是否正常，如果确保已经正常连接则更换控制器。</w:t>
      </w:r>
    </w:p>
    <w:p>
      <w:pPr>
        <w:pStyle w:val="2"/>
        <w:bidi w:val="0"/>
        <w:ind w:left="840" w:leftChars="0" w:hanging="420" w:firstLineChars="0"/>
        <w:rPr>
          <w:rFonts w:hint="eastAsia" w:ascii="黑体" w:hAnsi="黑体" w:eastAsia="黑体" w:cs="黑体"/>
          <w:b w:val="0"/>
          <w:bCs/>
          <w:sz w:val="21"/>
          <w:szCs w:val="21"/>
          <w:lang w:val="en-US" w:eastAsia="zh-CN"/>
        </w:rPr>
      </w:pPr>
      <w:r>
        <w:rPr>
          <w:rFonts w:hint="eastAsia" w:ascii="黑体" w:hAnsi="黑体" w:eastAsia="黑体" w:cs="黑体"/>
          <w:b w:val="0"/>
          <w:bCs/>
          <w:sz w:val="21"/>
          <w:szCs w:val="21"/>
          <w:lang w:val="en-US" w:eastAsia="zh-CN"/>
        </w:rPr>
        <w:t>RSU初始化成功，OBU在天线区域没有任何反应。</w:t>
      </w:r>
    </w:p>
    <w:p>
      <w:pPr>
        <w:spacing w:after="120" w:line="360" w:lineRule="auto"/>
        <w:ind w:firstLine="420" w:firstLineChars="0"/>
        <w:rPr>
          <w:b w:val="0"/>
          <w:bCs/>
        </w:rPr>
      </w:pPr>
      <w:r>
        <w:rPr>
          <w:rFonts w:hint="eastAsia"/>
          <w:b w:val="0"/>
          <w:bCs/>
        </w:rPr>
        <w:t>检查天线连接是否正常，检查OBU是否插卡及插卡状态是否有效；检查OBU设备工作状态是否正常。</w:t>
      </w:r>
    </w:p>
    <w:p>
      <w:pPr>
        <w:pStyle w:val="2"/>
        <w:bidi w:val="0"/>
        <w:ind w:left="840" w:leftChars="0" w:hanging="420" w:firstLineChars="0"/>
        <w:rPr>
          <w:rFonts w:hint="eastAsia" w:ascii="黑体" w:hAnsi="黑体" w:eastAsia="黑体" w:cs="黑体"/>
          <w:b w:val="0"/>
          <w:bCs/>
          <w:sz w:val="21"/>
          <w:szCs w:val="21"/>
          <w:lang w:val="en-US" w:eastAsia="zh-CN"/>
        </w:rPr>
      </w:pPr>
      <w:r>
        <w:rPr>
          <w:rFonts w:hint="eastAsia" w:cs="黑体"/>
          <w:b w:val="0"/>
          <w:bCs/>
          <w:sz w:val="21"/>
          <w:szCs w:val="21"/>
          <w:lang w:val="en-US" w:eastAsia="zh-CN"/>
        </w:rPr>
        <w:t xml:space="preserve"> </w:t>
      </w:r>
      <w:r>
        <w:rPr>
          <w:rFonts w:hint="eastAsia" w:ascii="黑体" w:hAnsi="黑体" w:eastAsia="黑体" w:cs="黑体"/>
          <w:b w:val="0"/>
          <w:bCs/>
          <w:sz w:val="21"/>
          <w:szCs w:val="21"/>
          <w:lang w:val="en-US" w:eastAsia="zh-CN"/>
        </w:rPr>
        <w:t>RSU初始化成功，交易失败。</w:t>
      </w:r>
    </w:p>
    <w:bookmarkEnd w:id="111"/>
    <w:p>
      <w:pPr>
        <w:pStyle w:val="28"/>
        <w:numPr>
          <w:ilvl w:val="0"/>
          <w:numId w:val="0"/>
        </w:numPr>
        <w:spacing w:line="360" w:lineRule="auto"/>
        <w:ind w:firstLine="420" w:firstLineChars="200"/>
        <w:rPr>
          <w:szCs w:val="22"/>
        </w:rPr>
      </w:pPr>
      <w:r>
        <w:rPr>
          <w:rFonts w:hint="eastAsia"/>
          <w:szCs w:val="22"/>
        </w:rPr>
        <w:t>检查天线是否正常，检查OBU是否插卡及插卡状态是否有效，检查是否存在微波干扰。</w:t>
      </w:r>
    </w:p>
    <w:p>
      <w:pPr>
        <w:pStyle w:val="35"/>
        <w:spacing w:line="360" w:lineRule="auto"/>
      </w:pPr>
      <w:r>
        <w:t>________________________________</w:t>
      </w:r>
    </w:p>
    <w:p>
      <w:pPr>
        <w:pStyle w:val="28"/>
        <w:spacing w:line="360" w:lineRule="auto"/>
        <w:ind w:firstLine="0" w:firstLineChars="0"/>
      </w:pPr>
    </w:p>
    <w:p>
      <w:pPr>
        <w:spacing w:line="360" w:lineRule="auto"/>
      </w:pPr>
    </w:p>
    <w:sectPr>
      <w:footerReference r:id="rId15" w:type="default"/>
      <w:footerReference r:id="rId16" w:type="even"/>
      <w:pgSz w:w="11906" w:h="16838"/>
      <w:pgMar w:top="720" w:right="1134" w:bottom="720" w:left="1417" w:header="1418" w:footer="1134" w:gutter="0"/>
      <w:pgNumType w:fmt="decimal"/>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r>
      <mc:AlternateContent>
        <mc:Choice Requires="wps">
          <w:drawing>
            <wp:anchor distT="0" distB="0" distL="114300" distR="114300" simplePos="0" relativeHeight="251662336" behindDoc="0" locked="0" layoutInCell="1" allowOverlap="1">
              <wp:simplePos x="0" y="0"/>
              <wp:positionH relativeFrom="margin">
                <wp:align>right</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38"/>
                            <w:rPr>
                              <w:rFonts w:hint="eastAsia"/>
                            </w:rPr>
                          </w:pPr>
                          <w:r>
                            <w:rPr>
                              <w:rFonts w:hint="eastAsia"/>
                            </w:rPr>
                            <w:t>Ⅲ</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CuuuM7yQEAAJsDAAAOAAAAAAAAAAEAIAAAAB4BAABkcnMvZTJvRG9j&#10;LnhtbFBLBQYAAAAABgAGAFkBAABZBQAAAAA=&#10;">
              <v:fill on="f" focussize="0,0"/>
              <v:stroke on="f"/>
              <v:imagedata o:title=""/>
              <o:lock v:ext="edit" aspectratio="f"/>
              <v:textbox inset="0mm,0mm,0mm,0mm" style="mso-fit-shape-to-text:t;">
                <w:txbxContent>
                  <w:p>
                    <w:pPr>
                      <w:pStyle w:val="38"/>
                      <w:rPr>
                        <w:rFonts w:hint="eastAsia"/>
                      </w:rPr>
                    </w:pPr>
                    <w:r>
                      <w:rPr>
                        <w:rFonts w:hint="eastAsia"/>
                      </w:rPr>
                      <w:t>Ⅲ</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sz w:val="18"/>
      </w:rPr>
      <mc:AlternateContent>
        <mc:Choice Requires="wps">
          <w:drawing>
            <wp:anchor distT="0" distB="0" distL="114300" distR="114300" simplePos="0" relativeHeight="251667456" behindDoc="0" locked="0" layoutInCell="1" allowOverlap="1">
              <wp:simplePos x="0" y="0"/>
              <wp:positionH relativeFrom="margin">
                <wp:align>outside</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I</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9bQWsy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tBazICAABjBAAADgAAAAAAAAABACAAAAAfAQAAZHJzL2Uyb0RvYy54bWxQSwUG&#10;AAAAAAYABgBZAQAAwwUAAAAA&#10;">
              <v:fill on="f" focussize="0,0"/>
              <v:stroke on="f" weight="0.5pt"/>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I</w:t>
                    </w:r>
                    <w:r>
                      <w:rPr>
                        <w:rFonts w:hint="eastAsia"/>
                        <w:lang w:eastAsia="zh-CN"/>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r>
      <w:rPr>
        <w:sz w:val="18"/>
      </w:rPr>
      <mc:AlternateContent>
        <mc:Choice Requires="wps">
          <w:drawing>
            <wp:anchor distT="0" distB="0" distL="114300" distR="114300" simplePos="0" relativeHeight="251668480" behindDoc="0" locked="0" layoutInCell="1" allowOverlap="1">
              <wp:simplePos x="0" y="0"/>
              <wp:positionH relativeFrom="margin">
                <wp:align>outside</wp:align>
              </wp:positionH>
              <wp:positionV relativeFrom="paragraph">
                <wp:posOffset>0</wp:posOffset>
              </wp:positionV>
              <wp:extent cx="1828800" cy="182880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I</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R3mOY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HeY5jICAABjBAAADgAAAAAAAAABACAAAAAfAQAAZHJzL2Uyb0RvYy54bWxQSwUG&#10;AAAAAAYABgBZAQAAwwUAAAAA&#10;">
              <v:fill on="f" focussize="0,0"/>
              <v:stroke on="f" weight="0.5pt"/>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I</w:t>
                    </w:r>
                    <w:r>
                      <w:rPr>
                        <w:rFonts w:hint="eastAsia"/>
                        <w:lang w:eastAsia="zh-CN"/>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jc w:val="both"/>
    </w:pPr>
    <w:r>
      <w:rPr>
        <w:sz w:val="18"/>
      </w:rPr>
      <mc:AlternateContent>
        <mc:Choice Requires="wps">
          <w:drawing>
            <wp:anchor distT="0" distB="0" distL="114300" distR="114300" simplePos="0" relativeHeight="25167052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III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III</w:t>
                    </w:r>
                    <w:r>
                      <w:fldChar w:fldCharType="end"/>
                    </w:r>
                  </w:p>
                </w:txbxContent>
              </v:textbox>
            </v:shape>
          </w:pict>
        </mc:Fallback>
      </mc:AlternateContent>
    </w:r>
    <w: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39"/>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DSS+knIAQAAmQMAAA4AAAAAAAAAAQAgAAAAHgEAAGRycy9lMm9Eb2Mu&#10;eG1sUEsFBgAAAAAGAAYAWQEAAFgFAAAAAA==&#10;">
              <v:fill on="f" focussize="0,0"/>
              <v:stroke on="f"/>
              <v:imagedata o:title=""/>
              <o:lock v:ext="edit" aspectratio="f"/>
              <v:textbox inset="0mm,0mm,0mm,0mm" style="mso-fit-shape-to-text:t;">
                <w:txbxContent>
                  <w:p>
                    <w:pPr>
                      <w:pStyle w:val="39"/>
                    </w:pP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r>
      <w:rPr>
        <w:sz w:val="18"/>
      </w:rPr>
      <mc:AlternateContent>
        <mc:Choice Requires="wps">
          <w:drawing>
            <wp:anchor distT="0" distB="0" distL="114300" distR="114300" simplePos="0" relativeHeight="25166950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II</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EhxuI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ESHG4jICAABjBAAADgAAAAAAAAABACAAAAAfAQAAZHJzL2Uyb0RvYy54bWxQSwUG&#10;AAAAAAYABgBZAQAAwwUAAAAA&#10;">
              <v:fill on="f" focussize="0,0"/>
              <v:stroke on="f" weight="0.5pt"/>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II</w:t>
                    </w:r>
                    <w:r>
                      <w:rPr>
                        <w:rFonts w:hint="eastAsia"/>
                        <w:lang w:eastAsia="zh-CN"/>
                      </w:rPr>
                      <w:fldChar w:fldCharType="end"/>
                    </w:r>
                  </w:p>
                </w:txbxContent>
              </v:textbox>
            </v:shape>
          </w:pict>
        </mc:Fallback>
      </mc:AlternateContent>
    </w:r>
    <w:r>
      <mc:AlternateContent>
        <mc:Choice Requires="wps">
          <w:drawing>
            <wp:anchor distT="0" distB="0" distL="114300" distR="114300" simplePos="0" relativeHeight="251666432" behindDoc="0" locked="0" layoutInCell="1" allowOverlap="1">
              <wp:simplePos x="0" y="0"/>
              <wp:positionH relativeFrom="margin">
                <wp:align>right</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38"/>
                            <w:ind w:left="0" w:leftChars="0" w:firstLine="0" w:firstLineChars="0"/>
                            <w:rPr>
                              <w:rFonts w:hint="eastAsia"/>
                            </w:rPr>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643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CMOBTKyQEAAJsDAAAOAAAAAAAAAAEAIAAAAB4BAABkcnMvZTJvRG9j&#10;LnhtbFBLBQYAAAAABgAGAFkBAABZBQAAAAA=&#10;">
              <v:fill on="f" focussize="0,0"/>
              <v:stroke on="f"/>
              <v:imagedata o:title=""/>
              <o:lock v:ext="edit" aspectratio="f"/>
              <v:textbox inset="0mm,0mm,0mm,0mm" style="mso-fit-shape-to-text:t;">
                <w:txbxContent>
                  <w:p>
                    <w:pPr>
                      <w:pStyle w:val="38"/>
                      <w:ind w:left="0" w:leftChars="0" w:firstLine="0" w:firstLineChars="0"/>
                      <w:rPr>
                        <w:rFonts w:hint="eastAsia"/>
                      </w:rPr>
                    </w:pP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sz w:val="18"/>
      </w:rPr>
      <mc:AlternateContent>
        <mc:Choice Requires="wps">
          <w:drawing>
            <wp:anchor distT="0" distB="0" distL="114300" distR="114300" simplePos="0" relativeHeight="251673600" behindDoc="0" locked="0" layoutInCell="1" allowOverlap="1">
              <wp:simplePos x="0" y="0"/>
              <wp:positionH relativeFrom="margin">
                <wp:align>outside</wp:align>
              </wp:positionH>
              <wp:positionV relativeFrom="paragraph">
                <wp:posOffset>0</wp:posOffset>
              </wp:positionV>
              <wp:extent cx="1828800" cy="1828800"/>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7360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bfDwky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t8PCTICAABjBAAADgAAAAAAAAABACAAAAAfAQAAZHJzL2Uyb0RvYy54bWxQSwUG&#10;AAAAAAYABgBZAQAAwwU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r>
      <w:rPr>
        <w:sz w:val="18"/>
      </w:rPr>
      <mc:AlternateContent>
        <mc:Choice Requires="wps">
          <w:drawing>
            <wp:anchor distT="0" distB="0" distL="114300" distR="114300" simplePos="0" relativeHeight="251671552" behindDoc="0" locked="0" layoutInCell="1" allowOverlap="1">
              <wp:simplePos x="0" y="0"/>
              <wp:positionH relativeFrom="margin">
                <wp:align>outside</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IV</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715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IV</w:t>
                    </w:r>
                    <w:r>
                      <w:rPr>
                        <w:rFonts w:hint="eastAsia"/>
                        <w:lang w:eastAsia="zh-CN"/>
                      </w:rP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sz w:val="18"/>
      </w:rPr>
      <mc:AlternateContent>
        <mc:Choice Requires="wps">
          <w:drawing>
            <wp:anchor distT="0" distB="0" distL="114300" distR="114300" simplePos="0" relativeHeight="25167462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7462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OJUQ0z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9MrSgzTqPj5x/fz&#10;z9/nX98IziBQ7cIccQ8OkbF5Zxu0zXAecJh4N6XX6QtGBH7Ie7rIK5pIeLo0m85mY7g4fMMG+NnT&#10;dedDfC+sJsnIqUf9WlnZcRtiFzqEpGzGbqRSbQ2VIXVOr6/ejt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FOJUQ0zAgAAYwQAAA4AAAAAAAAAAQAgAAAAHwEAAGRycy9lMm9Eb2MueG1sUEsF&#10;BgAAAAAGAAYAWQEAAMQFA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r>
      <w:rPr>
        <w:sz w:val="18"/>
      </w:rPr>
      <mc:AlternateContent>
        <mc:Choice Requires="wps">
          <w:drawing>
            <wp:anchor distT="0" distB="0" distL="114300" distR="114300" simplePos="0" relativeHeight="251672576" behindDoc="0" locked="0" layoutInCell="1" allowOverlap="1">
              <wp:simplePos x="0" y="0"/>
              <wp:positionH relativeFrom="margin">
                <wp:align>outside</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IV</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725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3z1oQ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989aEMQIAAGMEAAAOAAAAAAAAAAEAIAAAAB8BAABkcnMvZTJvRG9jLnhtbFBLBQYA&#10;AAAABgAGAFkBAADCBQAAAAA=&#10;">
              <v:fill on="f" focussize="0,0"/>
              <v:stroke on="f" weight="0.5pt"/>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IV</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Bdr>
        <w:bottom w:val="none" w:color="auto" w:sz="0" w:space="0"/>
      </w:pBdr>
      <w:jc w:val="right"/>
    </w:pPr>
    <w:r>
      <w:t>DB21/T XXXXX—20</w:t>
    </w:r>
    <w:r>
      <w:rPr>
        <w:rFonts w:hint="eastAsia"/>
      </w:rPr>
      <w:t>20</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Bdr>
        <w:bottom w:val="none" w:color="auto" w:sz="0" w:space="0"/>
      </w:pBdr>
    </w:pPr>
    <w:r>
      <w:t>DB</w:t>
    </w:r>
    <w:r>
      <w:rPr>
        <w:rFonts w:hint="eastAsia"/>
      </w:rPr>
      <w:t>21</w:t>
    </w:r>
    <w:r>
      <w:t>/</w:t>
    </w:r>
    <w:r>
      <w:rPr>
        <w:rFonts w:hint="eastAsia"/>
      </w:rPr>
      <w:t>T</w:t>
    </w:r>
    <w:r>
      <w:t xml:space="preserve"> XXXX</w:t>
    </w:r>
    <w:r>
      <w:rPr>
        <w:rFonts w:hAnsi="黑体"/>
      </w:rPr>
      <w:t>—</w:t>
    </w:r>
    <w:r>
      <w:rPr>
        <w:rFonts w:hint="eastAsia"/>
      </w:rPr>
      <w:t>202</w:t>
    </w:r>
    <w:r>
      <w:rPr>
        <w:rFonts w:hint="eastAsia"/>
        <w:lang w:val="en-US" w:eastAsia="zh-CN"/>
      </w:rPr>
      <w:t>1</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Bdr>
        <w:bottom w:val="none" w:color="auto" w:sz="0" w:space="0"/>
      </w:pBdr>
      <w:jc w:val="both"/>
      <w:rPr>
        <w:rFonts w:hint="eastAsia" w:eastAsia="黑体"/>
        <w:lang w:eastAsia="zh-CN"/>
      </w:rPr>
    </w:pPr>
    <w:r>
      <w:t>DB21/T XXXXX—20</w:t>
    </w:r>
    <w:r>
      <w:rPr>
        <w:rFonts w:hint="eastAsia"/>
      </w:rPr>
      <w:t>2</w:t>
    </w:r>
    <w:r>
      <w:rPr>
        <w:rFonts w:hint="eastAsia"/>
        <w:lang w:val="en-US" w:eastAsia="zh-CN"/>
      </w:rPr>
      <w:t>1</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Bdr>
        <w:bottom w:val="none" w:color="auto" w:sz="0" w:space="0"/>
      </w:pBdr>
      <w:rPr>
        <w:rFonts w:hint="eastAsia" w:eastAsia="黑体"/>
        <w:lang w:eastAsia="zh-CN"/>
      </w:rPr>
    </w:pPr>
    <w:r>
      <w:t>DB</w:t>
    </w:r>
    <w:r>
      <w:rPr>
        <w:rFonts w:hint="eastAsia"/>
      </w:rPr>
      <w:t>21</w:t>
    </w:r>
    <w:r>
      <w:t>/</w:t>
    </w:r>
    <w:r>
      <w:rPr>
        <w:rFonts w:hint="eastAsia"/>
      </w:rPr>
      <w:t>T</w:t>
    </w:r>
    <w:r>
      <w:t xml:space="preserve"> XXXX</w:t>
    </w:r>
    <w:r>
      <w:rPr>
        <w:rFonts w:hAnsi="黑体"/>
      </w:rPr>
      <w:t>—</w:t>
    </w:r>
    <w:r>
      <w:rPr>
        <w:rFonts w:hint="eastAsia"/>
      </w:rPr>
      <w:t>202</w:t>
    </w:r>
    <w:r>
      <w:rPr>
        <w:rFonts w:hint="eastAsia"/>
        <w:lang w:val="en-US" w:eastAsia="zh-CN"/>
      </w:rPr>
      <w:t>1</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Bdr>
        <w:bottom w:val="none" w:color="auto" w:sz="0" w:space="0"/>
      </w:pBdr>
      <w:rPr>
        <w:rFonts w:hint="eastAsia" w:hAnsi="黑体" w:eastAsia="黑体" w:cs="黑体"/>
        <w:lang w:eastAsia="zh-CN"/>
      </w:rPr>
    </w:pPr>
    <w:r>
      <w:rPr>
        <w:rFonts w:hint="eastAsia" w:hAnsi="黑体" w:cs="黑体"/>
      </w:rPr>
      <w:t>DB21/T XXXXX—202</w:t>
    </w:r>
    <w:r>
      <w:rPr>
        <w:rFonts w:hint="eastAsia" w:hAnsi="黑体" w:cs="黑体"/>
        <w:lang w:val="en-US" w:eastAsia="zh-CN"/>
      </w:rPr>
      <w:t>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2221C4"/>
    <w:multiLevelType w:val="singleLevel"/>
    <w:tmpl w:val="A42221C4"/>
    <w:lvl w:ilvl="0" w:tentative="0">
      <w:start w:val="1"/>
      <w:numFmt w:val="lowerLetter"/>
      <w:suff w:val="space"/>
      <w:lvlText w:val="%1)"/>
      <w:lvlJc w:val="left"/>
    </w:lvl>
  </w:abstractNum>
  <w:abstractNum w:abstractNumId="1">
    <w:nsid w:val="CA7A0FD0"/>
    <w:multiLevelType w:val="singleLevel"/>
    <w:tmpl w:val="CA7A0FD0"/>
    <w:lvl w:ilvl="0" w:tentative="0">
      <w:start w:val="1"/>
      <w:numFmt w:val="lowerLetter"/>
      <w:suff w:val="space"/>
      <w:lvlText w:val="%1)"/>
      <w:lvlJc w:val="left"/>
    </w:lvl>
  </w:abstractNum>
  <w:abstractNum w:abstractNumId="2">
    <w:nsid w:val="D29076CB"/>
    <w:multiLevelType w:val="multilevel"/>
    <w:tmpl w:val="D29076CB"/>
    <w:lvl w:ilvl="0" w:tentative="0">
      <w:start w:val="1"/>
      <w:numFmt w:val="decimal"/>
      <w:pStyle w:val="30"/>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31"/>
      <w:suff w:val="nothing"/>
      <w:lvlText w:val="%1.%2　"/>
      <w:lvlJc w:val="left"/>
      <w:pPr>
        <w:tabs>
          <w:tab w:val="left" w:pos="0"/>
        </w:tabs>
        <w:ind w:left="0" w:firstLine="0"/>
      </w:pPr>
      <w:rPr>
        <w:rFonts w:hint="default"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pStyle w:val="32"/>
      <w:suff w:val="nothing"/>
      <w:lvlText w:val="%1.%2.%3　"/>
      <w:lvlJc w:val="left"/>
      <w:pPr>
        <w:tabs>
          <w:tab w:val="left" w:pos="0"/>
        </w:tabs>
        <w:ind w:left="0" w:firstLine="0"/>
      </w:pPr>
      <w:rPr>
        <w:rFonts w:hint="eastAsia" w:ascii="黑体" w:hAnsi="Times New Roman" w:eastAsia="黑体"/>
        <w:b w:val="0"/>
        <w:i w:val="0"/>
        <w:sz w:val="21"/>
      </w:rPr>
    </w:lvl>
    <w:lvl w:ilvl="3" w:tentative="0">
      <w:start w:val="1"/>
      <w:numFmt w:val="decimal"/>
      <w:pStyle w:val="33"/>
      <w:suff w:val="nothing"/>
      <w:lvlText w:val="%1.%2.%3.%4　"/>
      <w:lvlJc w:val="left"/>
      <w:pPr>
        <w:tabs>
          <w:tab w:val="left" w:pos="0"/>
        </w:tabs>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
    <w:nsid w:val="D5C23CDD"/>
    <w:multiLevelType w:val="singleLevel"/>
    <w:tmpl w:val="D5C23CDD"/>
    <w:lvl w:ilvl="0" w:tentative="0">
      <w:start w:val="1"/>
      <w:numFmt w:val="lowerLetter"/>
      <w:suff w:val="space"/>
      <w:lvlText w:val="%1)"/>
      <w:lvlJc w:val="left"/>
    </w:lvl>
  </w:abstractNum>
  <w:abstractNum w:abstractNumId="4">
    <w:nsid w:val="D837C2F3"/>
    <w:multiLevelType w:val="singleLevel"/>
    <w:tmpl w:val="D837C2F3"/>
    <w:lvl w:ilvl="0" w:tentative="0">
      <w:start w:val="1"/>
      <w:numFmt w:val="lowerLetter"/>
      <w:suff w:val="space"/>
      <w:lvlText w:val="%1)"/>
      <w:lvlJc w:val="left"/>
    </w:lvl>
  </w:abstractNum>
  <w:abstractNum w:abstractNumId="5">
    <w:nsid w:val="E5411ABA"/>
    <w:multiLevelType w:val="singleLevel"/>
    <w:tmpl w:val="E5411ABA"/>
    <w:lvl w:ilvl="0" w:tentative="0">
      <w:start w:val="1"/>
      <w:numFmt w:val="lowerLetter"/>
      <w:suff w:val="space"/>
      <w:lvlText w:val="%1)"/>
      <w:lvlJc w:val="left"/>
    </w:lvl>
  </w:abstractNum>
  <w:abstractNum w:abstractNumId="6">
    <w:nsid w:val="E798F3E5"/>
    <w:multiLevelType w:val="singleLevel"/>
    <w:tmpl w:val="E798F3E5"/>
    <w:lvl w:ilvl="0" w:tentative="0">
      <w:start w:val="1"/>
      <w:numFmt w:val="lowerLetter"/>
      <w:suff w:val="space"/>
      <w:lvlText w:val="%1)"/>
      <w:lvlJc w:val="left"/>
    </w:lvl>
  </w:abstractNum>
  <w:abstractNum w:abstractNumId="7">
    <w:nsid w:val="F86CF4F8"/>
    <w:multiLevelType w:val="singleLevel"/>
    <w:tmpl w:val="F86CF4F8"/>
    <w:lvl w:ilvl="0" w:tentative="0">
      <w:start w:val="1"/>
      <w:numFmt w:val="lowerLetter"/>
      <w:suff w:val="space"/>
      <w:lvlText w:val="%1)"/>
      <w:lvlJc w:val="left"/>
    </w:lvl>
  </w:abstractNum>
  <w:abstractNum w:abstractNumId="8">
    <w:nsid w:val="1301FA93"/>
    <w:multiLevelType w:val="singleLevel"/>
    <w:tmpl w:val="1301FA93"/>
    <w:lvl w:ilvl="0" w:tentative="0">
      <w:start w:val="1"/>
      <w:numFmt w:val="lowerLetter"/>
      <w:suff w:val="space"/>
      <w:lvlText w:val="%1)"/>
      <w:lvlJc w:val="left"/>
    </w:lvl>
  </w:abstractNum>
  <w:abstractNum w:abstractNumId="9">
    <w:nsid w:val="16BBC7EF"/>
    <w:multiLevelType w:val="singleLevel"/>
    <w:tmpl w:val="16BBC7EF"/>
    <w:lvl w:ilvl="0" w:tentative="0">
      <w:start w:val="1"/>
      <w:numFmt w:val="lowerLetter"/>
      <w:suff w:val="space"/>
      <w:lvlText w:val="%1)"/>
      <w:lvlJc w:val="left"/>
    </w:lvl>
  </w:abstractNum>
  <w:abstractNum w:abstractNumId="10">
    <w:nsid w:val="18D12293"/>
    <w:multiLevelType w:val="singleLevel"/>
    <w:tmpl w:val="18D12293"/>
    <w:lvl w:ilvl="0" w:tentative="0">
      <w:start w:val="1"/>
      <w:numFmt w:val="lowerLetter"/>
      <w:suff w:val="space"/>
      <w:lvlText w:val="%1)"/>
      <w:lvlJc w:val="left"/>
    </w:lvl>
  </w:abstractNum>
  <w:abstractNum w:abstractNumId="11">
    <w:nsid w:val="1E924720"/>
    <w:multiLevelType w:val="singleLevel"/>
    <w:tmpl w:val="1E924720"/>
    <w:lvl w:ilvl="0" w:tentative="0">
      <w:start w:val="1"/>
      <w:numFmt w:val="lowerLetter"/>
      <w:suff w:val="space"/>
      <w:lvlText w:val="%1)"/>
      <w:lvlJc w:val="left"/>
    </w:lvl>
  </w:abstractNum>
  <w:abstractNum w:abstractNumId="12">
    <w:nsid w:val="39E3D1B9"/>
    <w:multiLevelType w:val="singleLevel"/>
    <w:tmpl w:val="39E3D1B9"/>
    <w:lvl w:ilvl="0" w:tentative="0">
      <w:start w:val="1"/>
      <w:numFmt w:val="lowerLetter"/>
      <w:suff w:val="space"/>
      <w:lvlText w:val="%1)"/>
      <w:lvlJc w:val="left"/>
    </w:lvl>
  </w:abstractNum>
  <w:abstractNum w:abstractNumId="13">
    <w:nsid w:val="3A5204F3"/>
    <w:multiLevelType w:val="singleLevel"/>
    <w:tmpl w:val="3A5204F3"/>
    <w:lvl w:ilvl="0" w:tentative="0">
      <w:start w:val="1"/>
      <w:numFmt w:val="lowerLetter"/>
      <w:suff w:val="space"/>
      <w:lvlText w:val="%1)"/>
      <w:lvlJc w:val="left"/>
    </w:lvl>
  </w:abstractNum>
  <w:abstractNum w:abstractNumId="14">
    <w:nsid w:val="3E978CFF"/>
    <w:multiLevelType w:val="singleLevel"/>
    <w:tmpl w:val="3E978CFF"/>
    <w:lvl w:ilvl="0" w:tentative="0">
      <w:start w:val="1"/>
      <w:numFmt w:val="lowerLetter"/>
      <w:suff w:val="space"/>
      <w:lvlText w:val="%1)"/>
      <w:lvlJc w:val="left"/>
    </w:lvl>
  </w:abstractNum>
  <w:abstractNum w:abstractNumId="15">
    <w:nsid w:val="4721C41B"/>
    <w:multiLevelType w:val="singleLevel"/>
    <w:tmpl w:val="4721C41B"/>
    <w:lvl w:ilvl="0" w:tentative="0">
      <w:start w:val="1"/>
      <w:numFmt w:val="lowerLetter"/>
      <w:suff w:val="space"/>
      <w:lvlText w:val="%1)"/>
      <w:lvlJc w:val="left"/>
    </w:lvl>
  </w:abstractNum>
  <w:abstractNum w:abstractNumId="16">
    <w:nsid w:val="63428CBA"/>
    <w:multiLevelType w:val="singleLevel"/>
    <w:tmpl w:val="63428CBA"/>
    <w:lvl w:ilvl="0" w:tentative="0">
      <w:start w:val="1"/>
      <w:numFmt w:val="lowerLetter"/>
      <w:suff w:val="space"/>
      <w:lvlText w:val="%1)"/>
      <w:lvlJc w:val="left"/>
    </w:lvl>
  </w:abstractNum>
  <w:abstractNum w:abstractNumId="17">
    <w:nsid w:val="6F89E4C5"/>
    <w:multiLevelType w:val="multilevel"/>
    <w:tmpl w:val="6F89E4C5"/>
    <w:lvl w:ilvl="0" w:tentative="0">
      <w:start w:val="1"/>
      <w:numFmt w:val="decimal"/>
      <w:pStyle w:val="2"/>
      <w:lvlText w:val="B.%1"/>
      <w:lvlJc w:val="left"/>
      <w:pPr>
        <w:ind w:left="840" w:hanging="420"/>
      </w:pPr>
      <w:rPr>
        <w:rFonts w:hint="default" w:ascii="宋体" w:hAnsi="宋体" w:eastAsia="黑体" w:cs="黑体"/>
      </w:rPr>
    </w:lvl>
    <w:lvl w:ilvl="1" w:tentative="0">
      <w:start w:val="1"/>
      <w:numFmt w:val="lowerLetter"/>
      <w:lvlText w:val="%2)"/>
      <w:lvlJc w:val="left"/>
      <w:pPr>
        <w:ind w:left="1260" w:hanging="420"/>
      </w:pPr>
      <w:rPr>
        <w:rFonts w:hint="default"/>
      </w:r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8">
    <w:nsid w:val="79B9BC0B"/>
    <w:multiLevelType w:val="singleLevel"/>
    <w:tmpl w:val="79B9BC0B"/>
    <w:lvl w:ilvl="0" w:tentative="0">
      <w:start w:val="1"/>
      <w:numFmt w:val="lowerLetter"/>
      <w:suff w:val="space"/>
      <w:lvlText w:val="%1)"/>
      <w:lvlJc w:val="left"/>
    </w:lvl>
  </w:abstractNum>
  <w:num w:numId="1">
    <w:abstractNumId w:val="17"/>
  </w:num>
  <w:num w:numId="2">
    <w:abstractNumId w:val="2"/>
  </w:num>
  <w:num w:numId="3">
    <w:abstractNumId w:val="16"/>
  </w:num>
  <w:num w:numId="4">
    <w:abstractNumId w:val="9"/>
  </w:num>
  <w:num w:numId="5">
    <w:abstractNumId w:val="7"/>
  </w:num>
  <w:num w:numId="6">
    <w:abstractNumId w:val="5"/>
  </w:num>
  <w:num w:numId="7">
    <w:abstractNumId w:val="4"/>
  </w:num>
  <w:num w:numId="8">
    <w:abstractNumId w:val="11"/>
  </w:num>
  <w:num w:numId="9">
    <w:abstractNumId w:val="13"/>
  </w:num>
  <w:num w:numId="10">
    <w:abstractNumId w:val="12"/>
  </w:num>
  <w:num w:numId="11">
    <w:abstractNumId w:val="1"/>
  </w:num>
  <w:num w:numId="12">
    <w:abstractNumId w:val="3"/>
  </w:num>
  <w:num w:numId="13">
    <w:abstractNumId w:val="6"/>
  </w:num>
  <w:num w:numId="14">
    <w:abstractNumId w:val="18"/>
  </w:num>
  <w:num w:numId="15">
    <w:abstractNumId w:val="8"/>
  </w:num>
  <w:num w:numId="16">
    <w:abstractNumId w:val="0"/>
  </w:num>
  <w:num w:numId="17">
    <w:abstractNumId w:val="14"/>
  </w:num>
  <w:num w:numId="18">
    <w:abstractNumId w:val="15"/>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evenAndOddHeaders w:val="1"/>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04E6F69"/>
    <w:rsid w:val="010344F1"/>
    <w:rsid w:val="01FC700B"/>
    <w:rsid w:val="026A095B"/>
    <w:rsid w:val="02832D0F"/>
    <w:rsid w:val="033D19CD"/>
    <w:rsid w:val="063629F0"/>
    <w:rsid w:val="06936598"/>
    <w:rsid w:val="07116912"/>
    <w:rsid w:val="072428E8"/>
    <w:rsid w:val="07D95C73"/>
    <w:rsid w:val="083C2589"/>
    <w:rsid w:val="09827F3C"/>
    <w:rsid w:val="0A9D79E3"/>
    <w:rsid w:val="0CD916AE"/>
    <w:rsid w:val="0CE10C3B"/>
    <w:rsid w:val="0CE47F14"/>
    <w:rsid w:val="0DAF268E"/>
    <w:rsid w:val="0DDE1790"/>
    <w:rsid w:val="0EAB1CCC"/>
    <w:rsid w:val="0F953062"/>
    <w:rsid w:val="0FB87A1C"/>
    <w:rsid w:val="10F76FA6"/>
    <w:rsid w:val="11722AF9"/>
    <w:rsid w:val="11883488"/>
    <w:rsid w:val="124C5933"/>
    <w:rsid w:val="14123535"/>
    <w:rsid w:val="146925B1"/>
    <w:rsid w:val="167929B0"/>
    <w:rsid w:val="16D44FB4"/>
    <w:rsid w:val="16E358C1"/>
    <w:rsid w:val="16E92CBE"/>
    <w:rsid w:val="199003FA"/>
    <w:rsid w:val="1AEE7E6A"/>
    <w:rsid w:val="1B0D551F"/>
    <w:rsid w:val="1BBE4826"/>
    <w:rsid w:val="1C93216E"/>
    <w:rsid w:val="1CED4A46"/>
    <w:rsid w:val="1DCC663E"/>
    <w:rsid w:val="1E430267"/>
    <w:rsid w:val="1F216C8E"/>
    <w:rsid w:val="20F2146D"/>
    <w:rsid w:val="23E42300"/>
    <w:rsid w:val="279E3042"/>
    <w:rsid w:val="286A2DB1"/>
    <w:rsid w:val="28A23DEF"/>
    <w:rsid w:val="2A690CFE"/>
    <w:rsid w:val="2B014250"/>
    <w:rsid w:val="2B625091"/>
    <w:rsid w:val="2CD80699"/>
    <w:rsid w:val="2D25126E"/>
    <w:rsid w:val="2D417018"/>
    <w:rsid w:val="2F174BFB"/>
    <w:rsid w:val="2FB10921"/>
    <w:rsid w:val="305C0F76"/>
    <w:rsid w:val="305C3F83"/>
    <w:rsid w:val="32950F0E"/>
    <w:rsid w:val="336D1082"/>
    <w:rsid w:val="339B7061"/>
    <w:rsid w:val="33B31767"/>
    <w:rsid w:val="345F3E74"/>
    <w:rsid w:val="3B7C40ED"/>
    <w:rsid w:val="3C5F51E7"/>
    <w:rsid w:val="3DC323AB"/>
    <w:rsid w:val="3DC9686C"/>
    <w:rsid w:val="3DDD0610"/>
    <w:rsid w:val="3DEA0246"/>
    <w:rsid w:val="404E6F69"/>
    <w:rsid w:val="410C4296"/>
    <w:rsid w:val="41427D64"/>
    <w:rsid w:val="41BF18C9"/>
    <w:rsid w:val="42B27EDC"/>
    <w:rsid w:val="44473079"/>
    <w:rsid w:val="45191421"/>
    <w:rsid w:val="451A4FE2"/>
    <w:rsid w:val="47D42DF5"/>
    <w:rsid w:val="47D4417A"/>
    <w:rsid w:val="4825174B"/>
    <w:rsid w:val="48686601"/>
    <w:rsid w:val="49850BC9"/>
    <w:rsid w:val="4A673DBE"/>
    <w:rsid w:val="4A824E18"/>
    <w:rsid w:val="4A8B6D40"/>
    <w:rsid w:val="4AD30983"/>
    <w:rsid w:val="4B8C2888"/>
    <w:rsid w:val="4B9F2229"/>
    <w:rsid w:val="4C941A7E"/>
    <w:rsid w:val="4D3906AB"/>
    <w:rsid w:val="4E1F0EBD"/>
    <w:rsid w:val="4E8B16F6"/>
    <w:rsid w:val="4EE565A7"/>
    <w:rsid w:val="4EEF145C"/>
    <w:rsid w:val="50122E15"/>
    <w:rsid w:val="50CC5E81"/>
    <w:rsid w:val="51B46BC5"/>
    <w:rsid w:val="522B4689"/>
    <w:rsid w:val="550118A9"/>
    <w:rsid w:val="550364F5"/>
    <w:rsid w:val="56AE0A65"/>
    <w:rsid w:val="57A1420C"/>
    <w:rsid w:val="58855E85"/>
    <w:rsid w:val="594447FD"/>
    <w:rsid w:val="5A884304"/>
    <w:rsid w:val="5AE65D26"/>
    <w:rsid w:val="5B110C2A"/>
    <w:rsid w:val="5BB808CE"/>
    <w:rsid w:val="5CB95C8F"/>
    <w:rsid w:val="5EE00ED6"/>
    <w:rsid w:val="5F076F5B"/>
    <w:rsid w:val="60761034"/>
    <w:rsid w:val="607D3CDC"/>
    <w:rsid w:val="60AF0A2F"/>
    <w:rsid w:val="60E83B0D"/>
    <w:rsid w:val="62282572"/>
    <w:rsid w:val="62311452"/>
    <w:rsid w:val="624518CC"/>
    <w:rsid w:val="65F463DA"/>
    <w:rsid w:val="66216A0B"/>
    <w:rsid w:val="6714235A"/>
    <w:rsid w:val="671506C4"/>
    <w:rsid w:val="676C69CB"/>
    <w:rsid w:val="679A4346"/>
    <w:rsid w:val="69D5473D"/>
    <w:rsid w:val="6B200AFA"/>
    <w:rsid w:val="6BCD77DE"/>
    <w:rsid w:val="6BD77219"/>
    <w:rsid w:val="6C446368"/>
    <w:rsid w:val="6E9A7B74"/>
    <w:rsid w:val="71F767CF"/>
    <w:rsid w:val="72FF19ED"/>
    <w:rsid w:val="730E3116"/>
    <w:rsid w:val="74B02BD4"/>
    <w:rsid w:val="750A673E"/>
    <w:rsid w:val="76101021"/>
    <w:rsid w:val="776B7919"/>
    <w:rsid w:val="77A859D0"/>
    <w:rsid w:val="7826268F"/>
    <w:rsid w:val="784D5D55"/>
    <w:rsid w:val="78837109"/>
    <w:rsid w:val="78A2567D"/>
    <w:rsid w:val="79620364"/>
    <w:rsid w:val="79D30D1A"/>
    <w:rsid w:val="7A0F64F8"/>
    <w:rsid w:val="7B7E733E"/>
    <w:rsid w:val="7C596A36"/>
    <w:rsid w:val="7D495824"/>
    <w:rsid w:val="7E4F4240"/>
    <w:rsid w:val="7EB62B3D"/>
    <w:rsid w:val="7F582001"/>
    <w:rsid w:val="7FAE40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link w:val="40"/>
    <w:qFormat/>
    <w:uiPriority w:val="9"/>
    <w:pPr>
      <w:numPr>
        <w:ilvl w:val="0"/>
        <w:numId w:val="1"/>
      </w:numPr>
      <w:adjustRightInd w:val="0"/>
      <w:spacing w:before="150" w:beforeLines="150"/>
      <w:ind w:left="840" w:hanging="420"/>
      <w:outlineLvl w:val="1"/>
    </w:pPr>
    <w:rPr>
      <w:rFonts w:ascii="黑体" w:hAnsi="黑体" w:eastAsia="黑体" w:cs="黑体"/>
      <w:b/>
      <w:sz w:val="28"/>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3">
    <w:name w:val="toc 3"/>
    <w:basedOn w:val="1"/>
    <w:next w:val="1"/>
    <w:semiHidden/>
    <w:qFormat/>
    <w:uiPriority w:val="0"/>
    <w:pPr>
      <w:tabs>
        <w:tab w:val="right" w:leader="dot" w:pos="9241"/>
      </w:tabs>
      <w:ind w:firstLine="100" w:firstLineChars="100"/>
      <w:jc w:val="left"/>
    </w:pPr>
    <w:rPr>
      <w:rFonts w:ascii="宋体"/>
      <w:szCs w:val="21"/>
    </w:rPr>
  </w:style>
  <w:style w:type="paragraph" w:styleId="4">
    <w:name w:val="footer"/>
    <w:basedOn w:val="1"/>
    <w:qFormat/>
    <w:uiPriority w:val="0"/>
    <w:pPr>
      <w:snapToGrid w:val="0"/>
      <w:ind w:right="210" w:rightChars="100"/>
      <w:jc w:val="right"/>
    </w:pPr>
    <w:rPr>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semiHidden/>
    <w:qFormat/>
    <w:uiPriority w:val="0"/>
    <w:pPr>
      <w:tabs>
        <w:tab w:val="right" w:leader="dot" w:pos="9242"/>
      </w:tabs>
      <w:spacing w:beforeLines="25" w:afterLines="25"/>
      <w:jc w:val="left"/>
    </w:pPr>
    <w:rPr>
      <w:rFonts w:ascii="宋体"/>
      <w:szCs w:val="21"/>
    </w:rPr>
  </w:style>
  <w:style w:type="paragraph" w:styleId="7">
    <w:name w:val="toc 2"/>
    <w:basedOn w:val="1"/>
    <w:next w:val="1"/>
    <w:semiHidden/>
    <w:qFormat/>
    <w:uiPriority w:val="0"/>
    <w:pPr>
      <w:tabs>
        <w:tab w:val="right" w:leader="dot" w:pos="9242"/>
      </w:tabs>
    </w:pPr>
    <w:rPr>
      <w:rFonts w:ascii="宋体"/>
      <w:szCs w:val="21"/>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paragraph" w:customStyle="1" w:styleId="11">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12">
    <w:name w:val="其他标准标志"/>
    <w:basedOn w:val="13"/>
    <w:qFormat/>
    <w:uiPriority w:val="0"/>
    <w:pPr>
      <w:framePr w:w="6101" w:vAnchor="page" w:hAnchor="page" w:x="4673" w:y="942"/>
    </w:pPr>
    <w:rPr>
      <w:w w:val="130"/>
    </w:rPr>
  </w:style>
  <w:style w:type="paragraph" w:customStyle="1" w:styleId="13">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14">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15">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16">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17">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8">
    <w:name w:val="封面标准英文名称"/>
    <w:basedOn w:val="17"/>
    <w:qFormat/>
    <w:uiPriority w:val="0"/>
    <w:pPr>
      <w:spacing w:before="370" w:line="400" w:lineRule="exact"/>
    </w:pPr>
    <w:rPr>
      <w:rFonts w:ascii="Times New Roman"/>
      <w:sz w:val="28"/>
      <w:szCs w:val="28"/>
    </w:rPr>
  </w:style>
  <w:style w:type="paragraph" w:customStyle="1" w:styleId="19">
    <w:name w:val="封面一致性程度标识"/>
    <w:basedOn w:val="18"/>
    <w:qFormat/>
    <w:uiPriority w:val="0"/>
    <w:pPr>
      <w:spacing w:before="440"/>
    </w:pPr>
    <w:rPr>
      <w:rFonts w:ascii="宋体" w:eastAsia="宋体"/>
    </w:rPr>
  </w:style>
  <w:style w:type="paragraph" w:customStyle="1" w:styleId="20">
    <w:name w:val="封面标准文稿类别"/>
    <w:basedOn w:val="19"/>
    <w:qFormat/>
    <w:uiPriority w:val="0"/>
    <w:pPr>
      <w:spacing w:after="160" w:line="240" w:lineRule="auto"/>
    </w:pPr>
    <w:rPr>
      <w:sz w:val="24"/>
    </w:rPr>
  </w:style>
  <w:style w:type="paragraph" w:customStyle="1" w:styleId="21">
    <w:name w:val="封面标准文稿编辑信息"/>
    <w:basedOn w:val="20"/>
    <w:qFormat/>
    <w:uiPriority w:val="0"/>
    <w:pPr>
      <w:spacing w:before="180" w:line="180" w:lineRule="exact"/>
    </w:pPr>
    <w:rPr>
      <w:sz w:val="21"/>
    </w:rPr>
  </w:style>
  <w:style w:type="paragraph" w:customStyle="1" w:styleId="22">
    <w:name w:val="其他发布日期"/>
    <w:basedOn w:val="23"/>
    <w:qFormat/>
    <w:uiPriority w:val="0"/>
    <w:pPr>
      <w:framePr w:vAnchor="page" w:hAnchor="text" w:x="1419"/>
    </w:pPr>
  </w:style>
  <w:style w:type="paragraph" w:customStyle="1" w:styleId="23">
    <w:name w:val="发布日期"/>
    <w:qFormat/>
    <w:uiPriority w:val="0"/>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24">
    <w:name w:val="其他实施日期"/>
    <w:basedOn w:val="25"/>
    <w:qFormat/>
    <w:uiPriority w:val="0"/>
  </w:style>
  <w:style w:type="paragraph" w:customStyle="1" w:styleId="25">
    <w:name w:val="实施日期"/>
    <w:basedOn w:val="23"/>
    <w:qFormat/>
    <w:uiPriority w:val="0"/>
    <w:pPr>
      <w:framePr w:vAnchor="page" w:hAnchor="text"/>
      <w:jc w:val="right"/>
    </w:pPr>
  </w:style>
  <w:style w:type="paragraph" w:customStyle="1" w:styleId="26">
    <w:name w:val="其他发布部门"/>
    <w:basedOn w:val="27"/>
    <w:qFormat/>
    <w:uiPriority w:val="0"/>
    <w:pPr>
      <w:framePr w:y="15310"/>
      <w:spacing w:line="0" w:lineRule="atLeast"/>
    </w:pPr>
    <w:rPr>
      <w:rFonts w:ascii="黑体" w:eastAsia="黑体"/>
      <w:b w:val="0"/>
    </w:rPr>
  </w:style>
  <w:style w:type="paragraph" w:customStyle="1" w:styleId="27">
    <w:name w:val="发布部门"/>
    <w:next w:val="28"/>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28">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29">
    <w:name w:val="前言、引言标题"/>
    <w:next w:val="28"/>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30">
    <w:name w:val="章标题"/>
    <w:next w:val="28"/>
    <w:qFormat/>
    <w:uiPriority w:val="0"/>
    <w:pPr>
      <w:numPr>
        <w:ilvl w:val="0"/>
        <w:numId w:val="2"/>
      </w:numPr>
      <w:tabs>
        <w:tab w:val="left" w:pos="0"/>
      </w:tabs>
      <w:spacing w:beforeLines="100" w:afterLines="100"/>
      <w:jc w:val="both"/>
      <w:outlineLvl w:val="1"/>
    </w:pPr>
    <w:rPr>
      <w:rFonts w:ascii="黑体" w:hAnsi="Times New Roman" w:eastAsia="黑体" w:cs="Times New Roman"/>
      <w:sz w:val="21"/>
      <w:lang w:val="en-US" w:eastAsia="zh-CN" w:bidi="ar-SA"/>
    </w:rPr>
  </w:style>
  <w:style w:type="paragraph" w:customStyle="1" w:styleId="31">
    <w:name w:val="一级条标题"/>
    <w:next w:val="28"/>
    <w:qFormat/>
    <w:uiPriority w:val="0"/>
    <w:pPr>
      <w:numPr>
        <w:ilvl w:val="1"/>
        <w:numId w:val="2"/>
      </w:numPr>
      <w:spacing w:beforeLines="50" w:afterLines="50"/>
      <w:outlineLvl w:val="2"/>
    </w:pPr>
    <w:rPr>
      <w:rFonts w:ascii="黑体" w:hAnsi="Times New Roman" w:eastAsia="黑体" w:cs="Times New Roman"/>
      <w:sz w:val="21"/>
      <w:szCs w:val="21"/>
      <w:lang w:val="en-US" w:eastAsia="zh-CN" w:bidi="ar-SA"/>
    </w:rPr>
  </w:style>
  <w:style w:type="paragraph" w:customStyle="1" w:styleId="32">
    <w:name w:val="二级条标题"/>
    <w:basedOn w:val="31"/>
    <w:next w:val="28"/>
    <w:qFormat/>
    <w:uiPriority w:val="0"/>
    <w:pPr>
      <w:numPr>
        <w:ilvl w:val="2"/>
        <w:numId w:val="2"/>
      </w:numPr>
      <w:spacing w:before="50" w:after="50"/>
      <w:ind w:left="0" w:firstLine="0"/>
      <w:outlineLvl w:val="3"/>
    </w:pPr>
  </w:style>
  <w:style w:type="paragraph" w:customStyle="1" w:styleId="33">
    <w:name w:val="三级条标题"/>
    <w:basedOn w:val="32"/>
    <w:next w:val="28"/>
    <w:qFormat/>
    <w:uiPriority w:val="0"/>
    <w:pPr>
      <w:numPr>
        <w:ilvl w:val="3"/>
      </w:numPr>
      <w:ind w:left="0"/>
      <w:outlineLvl w:val="4"/>
    </w:pPr>
  </w:style>
  <w:style w:type="paragraph" w:customStyle="1" w:styleId="34">
    <w:name w:val="参考文献"/>
    <w:basedOn w:val="1"/>
    <w:next w:val="28"/>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35">
    <w:name w:val="终结线"/>
    <w:basedOn w:val="1"/>
    <w:qFormat/>
    <w:uiPriority w:val="0"/>
    <w:pPr>
      <w:framePr w:hSpace="181" w:vSpace="181" w:wrap="around" w:vAnchor="text" w:hAnchor="margin" w:xAlign="center" w:y="285"/>
    </w:pPr>
  </w:style>
  <w:style w:type="paragraph" w:customStyle="1" w:styleId="36">
    <w:name w:val="标准书眉_偶数页"/>
    <w:basedOn w:val="37"/>
    <w:next w:val="1"/>
    <w:qFormat/>
    <w:uiPriority w:val="0"/>
    <w:pPr>
      <w:tabs>
        <w:tab w:val="center" w:pos="4154"/>
        <w:tab w:val="right" w:pos="8306"/>
      </w:tabs>
      <w:jc w:val="left"/>
    </w:pPr>
  </w:style>
  <w:style w:type="paragraph" w:customStyle="1" w:styleId="37">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38">
    <w:name w:val="标准书脚_偶数页"/>
    <w:qFormat/>
    <w:uiPriority w:val="0"/>
    <w:pPr>
      <w:spacing w:before="120"/>
      <w:ind w:left="221"/>
    </w:pPr>
    <w:rPr>
      <w:rFonts w:ascii="宋体" w:hAnsi="Times New Roman" w:eastAsia="宋体" w:cs="Times New Roman"/>
      <w:sz w:val="18"/>
      <w:szCs w:val="18"/>
      <w:lang w:val="en-US" w:eastAsia="zh-CN" w:bidi="ar-SA"/>
    </w:rPr>
  </w:style>
  <w:style w:type="paragraph" w:customStyle="1" w:styleId="39">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character" w:customStyle="1" w:styleId="40">
    <w:name w:val="标题 2 Char"/>
    <w:link w:val="2"/>
    <w:qFormat/>
    <w:uiPriority w:val="9"/>
    <w:rPr>
      <w:rFonts w:ascii="黑体" w:hAnsi="黑体" w:eastAsia="黑体" w:cs="黑体"/>
      <w:b/>
      <w:sz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theme" Target="theme/theme1.xml"/><Relationship Id="rId16" Type="http://schemas.openxmlformats.org/officeDocument/2006/relationships/footer" Target="footer9.xml"/><Relationship Id="rId15" Type="http://schemas.openxmlformats.org/officeDocument/2006/relationships/footer" Target="footer8.xml"/><Relationship Id="rId14" Type="http://schemas.openxmlformats.org/officeDocument/2006/relationships/footer" Target="footer7.xml"/><Relationship Id="rId13" Type="http://schemas.openxmlformats.org/officeDocument/2006/relationships/footer" Target="footer6.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2021-04-14T00:21:00Z</dcterms:created>
  <dc:creator>XPS15</dc:creator>
  <cp:lastModifiedBy>真由理</cp:lastModifiedBy>
  <dcterms:modified xsi:type="dcterms:W3CDTF">2021-08-23T02:36:18Z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DDD11A28306B4F789D17694500999A40</vt:lpwstr>
  </property>
</Properties>
</file>